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136" w:rsidRPr="006B0240" w:rsidRDefault="00B01136" w:rsidP="00B01136">
      <w:pPr>
        <w:jc w:val="both"/>
        <w:rPr>
          <w:rFonts w:asciiTheme="minorHAnsi" w:hAnsiTheme="minorHAnsi" w:cs="Arial"/>
        </w:rPr>
      </w:pPr>
      <w:r>
        <w:rPr>
          <w:rFonts w:ascii="Arial" w:hAnsi="Arial" w:cs="Arial"/>
          <w:b/>
        </w:rPr>
        <w:tab/>
      </w:r>
      <w:r w:rsidR="006B0240">
        <w:rPr>
          <w:noProof/>
          <w:lang w:eastAsia="fr-FR"/>
        </w:rPr>
        <w:drawing>
          <wp:inline distT="0" distB="0" distL="0" distR="0" wp14:anchorId="781DB57C" wp14:editId="26C842C5">
            <wp:extent cx="942975" cy="942975"/>
            <wp:effectExtent l="0" t="0" r="9525" b="9525"/>
            <wp:docPr id="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943361" cy="943361"/>
                    </a:xfrm>
                    <a:prstGeom prst="rect">
                      <a:avLst/>
                    </a:prstGeom>
                  </pic:spPr>
                </pic:pic>
              </a:graphicData>
            </a:graphic>
          </wp:inline>
        </w:drawing>
      </w:r>
      <w:r>
        <w:rPr>
          <w:rFonts w:ascii="Arial" w:hAnsi="Arial" w:cs="Arial"/>
          <w:b/>
        </w:rPr>
        <w:tab/>
      </w:r>
      <w:r>
        <w:rPr>
          <w:rFonts w:ascii="Arial" w:hAnsi="Arial" w:cs="Arial"/>
          <w:b/>
        </w:rPr>
        <w:tab/>
      </w:r>
      <w:r>
        <w:rPr>
          <w:rFonts w:ascii="Arial" w:hAnsi="Arial" w:cs="Arial"/>
          <w:b/>
        </w:rPr>
        <w:tab/>
      </w:r>
      <w:r w:rsidRPr="006B0240">
        <w:rPr>
          <w:rFonts w:asciiTheme="minorHAnsi" w:hAnsiTheme="minorHAnsi" w:cs="Arial"/>
          <w:b/>
        </w:rPr>
        <w:t>Communiqué de presse</w:t>
      </w:r>
      <w:r w:rsidRPr="006B0240">
        <w:rPr>
          <w:rFonts w:asciiTheme="minorHAnsi" w:hAnsiTheme="minorHAnsi" w:cs="Arial"/>
        </w:rPr>
        <w:t xml:space="preserve"> (</w:t>
      </w:r>
      <w:r w:rsidR="00BA2C0E">
        <w:rPr>
          <w:rFonts w:asciiTheme="minorHAnsi" w:hAnsiTheme="minorHAnsi" w:cs="Arial"/>
        </w:rPr>
        <w:t>5</w:t>
      </w:r>
      <w:r w:rsidR="006B0240">
        <w:rPr>
          <w:rFonts w:asciiTheme="minorHAnsi" w:hAnsiTheme="minorHAnsi" w:cs="Arial"/>
        </w:rPr>
        <w:t xml:space="preserve"> </w:t>
      </w:r>
      <w:r w:rsidRPr="006B0240">
        <w:rPr>
          <w:rFonts w:asciiTheme="minorHAnsi" w:hAnsiTheme="minorHAnsi" w:cs="Arial"/>
        </w:rPr>
        <w:t>pages)</w:t>
      </w:r>
    </w:p>
    <w:p w:rsidR="00B01136" w:rsidRPr="006B0240" w:rsidRDefault="00B01136" w:rsidP="006B0240">
      <w:pPr>
        <w:jc w:val="both"/>
        <w:rPr>
          <w:rFonts w:asciiTheme="minorHAnsi" w:hAnsiTheme="minorHAnsi" w:cs="Arial"/>
        </w:rPr>
      </w:pPr>
      <w:r w:rsidRPr="006B0240">
        <w:rPr>
          <w:rFonts w:asciiTheme="minorHAnsi" w:hAnsiTheme="minorHAnsi" w:cs="Arial"/>
        </w:rPr>
        <w:tab/>
      </w:r>
      <w:r w:rsidRPr="006B0240">
        <w:rPr>
          <w:rFonts w:asciiTheme="minorHAnsi" w:hAnsiTheme="minorHAnsi" w:cs="Arial"/>
        </w:rPr>
        <w:tab/>
      </w:r>
      <w:r w:rsidRPr="006B0240">
        <w:rPr>
          <w:rFonts w:asciiTheme="minorHAnsi" w:hAnsiTheme="minorHAnsi" w:cs="Arial"/>
        </w:rPr>
        <w:tab/>
      </w:r>
      <w:r w:rsidRPr="006B0240">
        <w:rPr>
          <w:rFonts w:asciiTheme="minorHAnsi" w:hAnsiTheme="minorHAnsi" w:cs="Arial"/>
        </w:rPr>
        <w:tab/>
      </w:r>
      <w:r w:rsidRPr="006B0240">
        <w:rPr>
          <w:rFonts w:asciiTheme="minorHAnsi" w:hAnsiTheme="minorHAnsi" w:cs="Arial"/>
        </w:rPr>
        <w:tab/>
      </w:r>
      <w:r w:rsidRPr="006B0240">
        <w:rPr>
          <w:rFonts w:asciiTheme="minorHAnsi" w:hAnsiTheme="minorHAnsi" w:cs="Arial"/>
        </w:rPr>
        <w:tab/>
      </w:r>
      <w:r w:rsidR="006B0240">
        <w:rPr>
          <w:rFonts w:asciiTheme="minorHAnsi" w:hAnsiTheme="minorHAnsi" w:cs="Arial"/>
        </w:rPr>
        <w:t xml:space="preserve"> </w:t>
      </w:r>
      <w:r w:rsidR="00CC4E7A">
        <w:rPr>
          <w:rFonts w:asciiTheme="minorHAnsi" w:hAnsiTheme="minorHAnsi" w:cs="Arial"/>
        </w:rPr>
        <w:t xml:space="preserve">Paris, </w:t>
      </w:r>
      <w:r w:rsidR="000D6B55">
        <w:rPr>
          <w:rFonts w:asciiTheme="minorHAnsi" w:hAnsiTheme="minorHAnsi" w:cs="Arial"/>
        </w:rPr>
        <w:t>13 mars 2019</w:t>
      </w:r>
    </w:p>
    <w:p w:rsidR="00B01136" w:rsidRPr="006B0240" w:rsidRDefault="00B01136" w:rsidP="00B01136">
      <w:pPr>
        <w:rPr>
          <w:rFonts w:asciiTheme="minorHAnsi" w:hAnsiTheme="minorHAnsi" w:cs="Arial"/>
          <w:b/>
        </w:rPr>
      </w:pPr>
    </w:p>
    <w:p w:rsidR="003B69B7" w:rsidRPr="00F17584" w:rsidRDefault="003B69B7" w:rsidP="006B0240">
      <w:pPr>
        <w:rPr>
          <w:rFonts w:asciiTheme="minorHAnsi" w:hAnsiTheme="minorHAnsi" w:cs="Arial"/>
          <w:b/>
          <w:color w:val="FF0000"/>
        </w:rPr>
      </w:pPr>
    </w:p>
    <w:p w:rsidR="00B01136" w:rsidRPr="005C764F" w:rsidRDefault="000D6B55" w:rsidP="006B0240">
      <w:pPr>
        <w:rPr>
          <w:rFonts w:asciiTheme="minorHAnsi" w:hAnsiTheme="minorHAnsi" w:cs="Arial"/>
          <w:b/>
          <w:color w:val="44546A" w:themeColor="text2"/>
        </w:rPr>
      </w:pPr>
      <w:r>
        <w:rPr>
          <w:rFonts w:asciiTheme="minorHAnsi" w:hAnsiTheme="minorHAnsi" w:cs="Arial"/>
          <w:b/>
          <w:color w:val="44546A" w:themeColor="text2"/>
        </w:rPr>
        <w:t>Baisse de</w:t>
      </w:r>
      <w:r w:rsidR="00B01136" w:rsidRPr="005C764F">
        <w:rPr>
          <w:rFonts w:asciiTheme="minorHAnsi" w:hAnsiTheme="minorHAnsi" w:cs="Arial"/>
          <w:b/>
          <w:color w:val="44546A" w:themeColor="text2"/>
        </w:rPr>
        <w:t>s ventes aux ench</w:t>
      </w:r>
      <w:r w:rsidR="002B3298" w:rsidRPr="005C764F">
        <w:rPr>
          <w:rFonts w:asciiTheme="minorHAnsi" w:hAnsiTheme="minorHAnsi" w:cs="Arial"/>
          <w:b/>
          <w:color w:val="44546A" w:themeColor="text2"/>
        </w:rPr>
        <w:t>ères publiques en France en 201</w:t>
      </w:r>
      <w:r>
        <w:rPr>
          <w:rFonts w:asciiTheme="minorHAnsi" w:hAnsiTheme="minorHAnsi" w:cs="Arial"/>
          <w:b/>
          <w:color w:val="44546A" w:themeColor="text2"/>
        </w:rPr>
        <w:t>8</w:t>
      </w:r>
      <w:r w:rsidR="00B01136" w:rsidRPr="005C764F">
        <w:rPr>
          <w:rFonts w:asciiTheme="minorHAnsi" w:hAnsiTheme="minorHAnsi" w:cs="Arial"/>
          <w:b/>
          <w:color w:val="44546A" w:themeColor="text2"/>
        </w:rPr>
        <w:t> :</w:t>
      </w:r>
      <w:r>
        <w:rPr>
          <w:rFonts w:asciiTheme="minorHAnsi" w:hAnsiTheme="minorHAnsi" w:cs="Arial"/>
          <w:b/>
          <w:color w:val="44546A" w:themeColor="text2"/>
        </w:rPr>
        <w:t xml:space="preserve"> - 2,5</w:t>
      </w:r>
      <w:r w:rsidR="00B01136" w:rsidRPr="005C764F">
        <w:rPr>
          <w:rFonts w:asciiTheme="minorHAnsi" w:hAnsiTheme="minorHAnsi" w:cs="Arial"/>
          <w:b/>
          <w:color w:val="44546A" w:themeColor="text2"/>
        </w:rPr>
        <w:t>%</w:t>
      </w:r>
    </w:p>
    <w:p w:rsidR="00B01136" w:rsidRPr="005C764F" w:rsidRDefault="00B01136" w:rsidP="006B0240">
      <w:pPr>
        <w:rPr>
          <w:rFonts w:asciiTheme="minorHAnsi" w:hAnsiTheme="minorHAnsi" w:cs="Arial"/>
          <w:b/>
          <w:color w:val="44546A" w:themeColor="text2"/>
        </w:rPr>
      </w:pPr>
      <w:r w:rsidRPr="005C764F">
        <w:rPr>
          <w:rFonts w:asciiTheme="minorHAnsi" w:hAnsiTheme="minorHAnsi" w:cs="Arial"/>
          <w:b/>
          <w:color w:val="44546A" w:themeColor="text2"/>
        </w:rPr>
        <w:t>Le montant total adjugé at</w:t>
      </w:r>
      <w:r w:rsidR="002B3298" w:rsidRPr="005C764F">
        <w:rPr>
          <w:rFonts w:asciiTheme="minorHAnsi" w:hAnsiTheme="minorHAnsi" w:cs="Arial"/>
          <w:b/>
          <w:color w:val="44546A" w:themeColor="text2"/>
        </w:rPr>
        <w:t xml:space="preserve">teint </w:t>
      </w:r>
      <w:r w:rsidR="008C1F77">
        <w:rPr>
          <w:rFonts w:asciiTheme="minorHAnsi" w:hAnsiTheme="minorHAnsi" w:cs="Arial"/>
          <w:b/>
          <w:color w:val="44546A" w:themeColor="text2"/>
        </w:rPr>
        <w:t>3</w:t>
      </w:r>
      <w:r w:rsidRPr="005C764F">
        <w:rPr>
          <w:rFonts w:asciiTheme="minorHAnsi" w:hAnsiTheme="minorHAnsi" w:cs="Arial"/>
          <w:b/>
          <w:color w:val="44546A" w:themeColor="text2"/>
        </w:rPr>
        <w:t xml:space="preserve"> milliard</w:t>
      </w:r>
      <w:r w:rsidR="0048006A" w:rsidRPr="005C764F">
        <w:rPr>
          <w:rFonts w:asciiTheme="minorHAnsi" w:hAnsiTheme="minorHAnsi" w:cs="Arial"/>
          <w:b/>
          <w:color w:val="44546A" w:themeColor="text2"/>
        </w:rPr>
        <w:t>s</w:t>
      </w:r>
      <w:r w:rsidRPr="005C764F">
        <w:rPr>
          <w:rFonts w:asciiTheme="minorHAnsi" w:hAnsiTheme="minorHAnsi" w:cs="Arial"/>
          <w:b/>
          <w:color w:val="44546A" w:themeColor="text2"/>
        </w:rPr>
        <w:t xml:space="preserve"> d’euros</w:t>
      </w:r>
      <w:r w:rsidR="00E25046">
        <w:rPr>
          <w:rFonts w:asciiTheme="minorHAnsi" w:hAnsiTheme="minorHAnsi" w:cs="Arial"/>
          <w:b/>
          <w:color w:val="44546A" w:themeColor="text2"/>
        </w:rPr>
        <w:t>.</w:t>
      </w:r>
    </w:p>
    <w:p w:rsidR="00B01136" w:rsidRPr="006B0240" w:rsidRDefault="00B01136" w:rsidP="00B01136">
      <w:pPr>
        <w:jc w:val="both"/>
        <w:rPr>
          <w:rFonts w:asciiTheme="minorHAnsi" w:hAnsiTheme="minorHAnsi" w:cs="Arial"/>
        </w:rPr>
      </w:pPr>
    </w:p>
    <w:p w:rsidR="001A7FF4" w:rsidRPr="001A7FF4" w:rsidRDefault="000D6B55" w:rsidP="001A7FF4">
      <w:pPr>
        <w:jc w:val="both"/>
        <w:rPr>
          <w:rFonts w:asciiTheme="minorHAnsi" w:hAnsiTheme="minorHAnsi" w:cs="Arial"/>
          <w:b/>
          <w:color w:val="1F497D"/>
        </w:rPr>
      </w:pPr>
      <w:r>
        <w:rPr>
          <w:rFonts w:asciiTheme="minorHAnsi" w:hAnsiTheme="minorHAnsi" w:cs="Arial"/>
          <w:b/>
          <w:color w:val="1F497D"/>
        </w:rPr>
        <w:t xml:space="preserve">Baisse </w:t>
      </w:r>
      <w:r w:rsidR="001A7FF4" w:rsidRPr="001A7FF4">
        <w:rPr>
          <w:rFonts w:asciiTheme="minorHAnsi" w:hAnsiTheme="minorHAnsi" w:cs="Arial"/>
          <w:b/>
          <w:color w:val="1F497D"/>
        </w:rPr>
        <w:t xml:space="preserve">des ventes aux enchères publiques </w:t>
      </w:r>
      <w:r w:rsidR="001A7FF4">
        <w:rPr>
          <w:rFonts w:asciiTheme="minorHAnsi" w:hAnsiTheme="minorHAnsi" w:cs="Arial"/>
          <w:b/>
          <w:color w:val="1F497D"/>
        </w:rPr>
        <w:t>«Art et objets de collection » dans le monde en 201</w:t>
      </w:r>
      <w:r>
        <w:rPr>
          <w:rFonts w:asciiTheme="minorHAnsi" w:hAnsiTheme="minorHAnsi" w:cs="Arial"/>
          <w:b/>
          <w:color w:val="1F497D"/>
        </w:rPr>
        <w:t>8</w:t>
      </w:r>
      <w:r w:rsidR="001A7FF4">
        <w:rPr>
          <w:rFonts w:asciiTheme="minorHAnsi" w:hAnsiTheme="minorHAnsi" w:cs="Arial"/>
          <w:b/>
          <w:color w:val="1F497D"/>
        </w:rPr>
        <w:t xml:space="preserve"> </w:t>
      </w:r>
      <w:r w:rsidR="001A7FF4" w:rsidRPr="001A7FF4">
        <w:rPr>
          <w:rFonts w:asciiTheme="minorHAnsi" w:hAnsiTheme="minorHAnsi" w:cs="Arial"/>
          <w:b/>
          <w:color w:val="1F497D"/>
        </w:rPr>
        <w:t>:</w:t>
      </w:r>
      <w:r>
        <w:rPr>
          <w:rFonts w:asciiTheme="minorHAnsi" w:hAnsiTheme="minorHAnsi" w:cs="Arial"/>
          <w:b/>
          <w:color w:val="1F497D"/>
        </w:rPr>
        <w:t xml:space="preserve">- 3 %. </w:t>
      </w:r>
      <w:r w:rsidR="001A7FF4" w:rsidRPr="001A7FF4">
        <w:rPr>
          <w:rFonts w:asciiTheme="minorHAnsi" w:hAnsiTheme="minorHAnsi" w:cs="Arial"/>
          <w:b/>
          <w:color w:val="1F497D"/>
        </w:rPr>
        <w:t xml:space="preserve">Le montant total adjugé atteint </w:t>
      </w:r>
      <w:r w:rsidR="001A7FF4">
        <w:rPr>
          <w:rFonts w:asciiTheme="minorHAnsi" w:hAnsiTheme="minorHAnsi" w:cs="Arial"/>
          <w:b/>
          <w:color w:val="1F497D"/>
        </w:rPr>
        <w:t xml:space="preserve">28 </w:t>
      </w:r>
      <w:r w:rsidR="001A7FF4" w:rsidRPr="001A7FF4">
        <w:rPr>
          <w:rFonts w:asciiTheme="minorHAnsi" w:hAnsiTheme="minorHAnsi" w:cs="Arial"/>
          <w:b/>
          <w:color w:val="1F497D"/>
        </w:rPr>
        <w:t>milliards d’euros</w:t>
      </w:r>
      <w:r w:rsidR="00E25046">
        <w:rPr>
          <w:rFonts w:asciiTheme="minorHAnsi" w:hAnsiTheme="minorHAnsi" w:cs="Arial"/>
          <w:b/>
          <w:color w:val="1F497D"/>
        </w:rPr>
        <w:t xml:space="preserve">. </w:t>
      </w:r>
    </w:p>
    <w:p w:rsidR="00FD02B6" w:rsidRPr="006B0240" w:rsidRDefault="00FD02B6" w:rsidP="00B01136">
      <w:pPr>
        <w:jc w:val="both"/>
        <w:rPr>
          <w:rFonts w:asciiTheme="minorHAnsi" w:hAnsiTheme="minorHAnsi" w:cs="Arial"/>
          <w:color w:val="1F497D"/>
        </w:rPr>
      </w:pPr>
    </w:p>
    <w:p w:rsidR="00B01136" w:rsidRPr="006B0240" w:rsidRDefault="00B01136" w:rsidP="00B01136">
      <w:pPr>
        <w:jc w:val="both"/>
        <w:rPr>
          <w:rFonts w:asciiTheme="minorHAnsi" w:hAnsiTheme="minorHAnsi" w:cs="Arial"/>
        </w:rPr>
      </w:pPr>
      <w:r w:rsidRPr="006B0240">
        <w:rPr>
          <w:rFonts w:asciiTheme="minorHAnsi" w:hAnsiTheme="minorHAnsi" w:cs="Arial"/>
        </w:rPr>
        <w:t xml:space="preserve">Le Conseil des ventes, autorité de régulation des ventes volontaires de meubles aux enchères publiques (CVV), publie aujourd’hui une synthèse </w:t>
      </w:r>
      <w:r w:rsidR="000D6B55">
        <w:rPr>
          <w:rFonts w:asciiTheme="minorHAnsi" w:hAnsiTheme="minorHAnsi" w:cs="Arial"/>
        </w:rPr>
        <w:t xml:space="preserve">tant </w:t>
      </w:r>
      <w:r w:rsidRPr="006B0240">
        <w:rPr>
          <w:rFonts w:asciiTheme="minorHAnsi" w:hAnsiTheme="minorHAnsi" w:cs="Arial"/>
        </w:rPr>
        <w:t xml:space="preserve">des résultats de l’enquête annuelle menée auprès des opérateurs </w:t>
      </w:r>
      <w:r w:rsidR="000D6B55">
        <w:rPr>
          <w:rFonts w:asciiTheme="minorHAnsi" w:hAnsiTheme="minorHAnsi" w:cs="Arial"/>
        </w:rPr>
        <w:t xml:space="preserve">que du bilan international des enchères d’art, </w:t>
      </w:r>
      <w:r w:rsidRPr="006B0240">
        <w:rPr>
          <w:rFonts w:asciiTheme="minorHAnsi" w:hAnsiTheme="minorHAnsi" w:cs="Arial"/>
        </w:rPr>
        <w:t xml:space="preserve">dans le cadre de sa mission d’observatoire économique du secteur. </w:t>
      </w:r>
    </w:p>
    <w:p w:rsidR="00B01136" w:rsidRPr="006B0240" w:rsidRDefault="00B01136" w:rsidP="00B01136">
      <w:pPr>
        <w:jc w:val="both"/>
        <w:rPr>
          <w:rFonts w:asciiTheme="minorHAnsi" w:hAnsiTheme="minorHAnsi" w:cs="Arial"/>
        </w:rPr>
      </w:pPr>
    </w:p>
    <w:p w:rsidR="001A7FF4" w:rsidRPr="001A7FF4" w:rsidRDefault="001A7FF4" w:rsidP="001A7FF4">
      <w:pPr>
        <w:pStyle w:val="Paragraphedeliste"/>
        <w:numPr>
          <w:ilvl w:val="0"/>
          <w:numId w:val="5"/>
        </w:numPr>
        <w:jc w:val="both"/>
        <w:rPr>
          <w:rFonts w:asciiTheme="minorHAnsi" w:hAnsiTheme="minorHAnsi" w:cs="Arial"/>
          <w:b/>
        </w:rPr>
      </w:pPr>
      <w:r w:rsidRPr="001A7FF4">
        <w:rPr>
          <w:rFonts w:asciiTheme="minorHAnsi" w:hAnsiTheme="minorHAnsi" w:cs="Arial"/>
          <w:b/>
        </w:rPr>
        <w:t xml:space="preserve">Le Bilan France </w:t>
      </w:r>
    </w:p>
    <w:p w:rsidR="001A7FF4" w:rsidRDefault="001A7FF4" w:rsidP="00B01136">
      <w:pPr>
        <w:jc w:val="both"/>
        <w:rPr>
          <w:rFonts w:asciiTheme="minorHAnsi" w:hAnsiTheme="minorHAnsi" w:cs="Arial"/>
        </w:rPr>
      </w:pPr>
    </w:p>
    <w:p w:rsidR="00B01136" w:rsidRPr="006B0240" w:rsidRDefault="00B01136" w:rsidP="00B01136">
      <w:pPr>
        <w:jc w:val="both"/>
        <w:rPr>
          <w:rFonts w:asciiTheme="minorHAnsi" w:hAnsiTheme="minorHAnsi" w:cs="Arial"/>
        </w:rPr>
      </w:pPr>
      <w:r w:rsidRPr="006B0240">
        <w:rPr>
          <w:rFonts w:asciiTheme="minorHAnsi" w:hAnsiTheme="minorHAnsi" w:cs="Arial"/>
        </w:rPr>
        <w:t>Le montant total adjugé hors frais, tous secteurs confondus, atteint</w:t>
      </w:r>
      <w:r w:rsidR="00FD02B6" w:rsidRPr="006B0240">
        <w:rPr>
          <w:rFonts w:asciiTheme="minorHAnsi" w:hAnsiTheme="minorHAnsi" w:cs="Arial"/>
        </w:rPr>
        <w:t xml:space="preserve"> </w:t>
      </w:r>
      <w:r w:rsidR="008C1F77">
        <w:rPr>
          <w:rFonts w:asciiTheme="minorHAnsi" w:hAnsiTheme="minorHAnsi" w:cs="Arial"/>
        </w:rPr>
        <w:t>3</w:t>
      </w:r>
      <w:r w:rsidR="00FD02B6" w:rsidRPr="006B0240">
        <w:rPr>
          <w:rFonts w:asciiTheme="minorHAnsi" w:hAnsiTheme="minorHAnsi" w:cs="Arial"/>
        </w:rPr>
        <w:t xml:space="preserve"> milliards</w:t>
      </w:r>
      <w:r w:rsidR="007D3B12">
        <w:rPr>
          <w:rFonts w:asciiTheme="minorHAnsi" w:hAnsiTheme="minorHAnsi" w:cs="Arial"/>
        </w:rPr>
        <w:t>, en retrait de 2,5 % p</w:t>
      </w:r>
      <w:r w:rsidRPr="006B0240">
        <w:rPr>
          <w:rFonts w:asciiTheme="minorHAnsi" w:hAnsiTheme="minorHAnsi" w:cs="Arial"/>
        </w:rPr>
        <w:t>ar rapport à 201</w:t>
      </w:r>
      <w:r w:rsidR="007D3B12">
        <w:rPr>
          <w:rFonts w:asciiTheme="minorHAnsi" w:hAnsiTheme="minorHAnsi" w:cs="Arial"/>
        </w:rPr>
        <w:t>7. Le montant des ventes de 2018 reste néanmoins supérieur à ceux des années 2009 à 2016.</w:t>
      </w:r>
    </w:p>
    <w:p w:rsidR="00B01136" w:rsidRPr="006B0240" w:rsidRDefault="00B01136" w:rsidP="00B01136">
      <w:pPr>
        <w:jc w:val="both"/>
        <w:rPr>
          <w:rFonts w:asciiTheme="minorHAnsi" w:hAnsiTheme="minorHAnsi" w:cs="Arial"/>
          <w:u w:val="single"/>
        </w:rPr>
      </w:pPr>
    </w:p>
    <w:p w:rsidR="00B01136" w:rsidRPr="006B0240" w:rsidRDefault="00B01136" w:rsidP="00B01136">
      <w:pPr>
        <w:jc w:val="both"/>
        <w:rPr>
          <w:rFonts w:asciiTheme="minorHAnsi" w:hAnsiTheme="minorHAnsi" w:cs="Arial"/>
        </w:rPr>
      </w:pPr>
      <w:r w:rsidRPr="006B0240">
        <w:rPr>
          <w:rFonts w:asciiTheme="minorHAnsi" w:hAnsiTheme="minorHAnsi" w:cs="Arial"/>
          <w:b/>
        </w:rPr>
        <w:t xml:space="preserve">Cette </w:t>
      </w:r>
      <w:r w:rsidR="007D3B12">
        <w:rPr>
          <w:rFonts w:asciiTheme="minorHAnsi" w:hAnsiTheme="minorHAnsi" w:cs="Arial"/>
          <w:b/>
        </w:rPr>
        <w:t xml:space="preserve">évolution masque des évolutions </w:t>
      </w:r>
      <w:r w:rsidRPr="006B0240">
        <w:rPr>
          <w:rFonts w:asciiTheme="minorHAnsi" w:hAnsiTheme="minorHAnsi" w:cs="Arial"/>
          <w:b/>
        </w:rPr>
        <w:t>d’ampleur</w:t>
      </w:r>
      <w:r w:rsidR="007D3B12">
        <w:rPr>
          <w:rFonts w:asciiTheme="minorHAnsi" w:hAnsiTheme="minorHAnsi" w:cs="Arial"/>
          <w:b/>
        </w:rPr>
        <w:t>s</w:t>
      </w:r>
      <w:r w:rsidRPr="006B0240">
        <w:rPr>
          <w:rFonts w:asciiTheme="minorHAnsi" w:hAnsiTheme="minorHAnsi" w:cs="Arial"/>
          <w:b/>
        </w:rPr>
        <w:t xml:space="preserve"> inégale</w:t>
      </w:r>
      <w:r w:rsidR="007D3B12">
        <w:rPr>
          <w:rFonts w:asciiTheme="minorHAnsi" w:hAnsiTheme="minorHAnsi" w:cs="Arial"/>
          <w:b/>
        </w:rPr>
        <w:t>s selon les secteurs</w:t>
      </w:r>
      <w:r w:rsidRPr="006B0240">
        <w:rPr>
          <w:rFonts w:asciiTheme="minorHAnsi" w:hAnsiTheme="minorHAnsi" w:cs="Arial"/>
        </w:rPr>
        <w:t xml:space="preserve"> : </w:t>
      </w:r>
      <w:r w:rsidR="007D3B12">
        <w:rPr>
          <w:rFonts w:asciiTheme="minorHAnsi" w:hAnsiTheme="minorHAnsi" w:cs="Arial"/>
        </w:rPr>
        <w:t>- 4,5</w:t>
      </w:r>
      <w:r w:rsidR="008C1F77" w:rsidRPr="008C1F77">
        <w:rPr>
          <w:rFonts w:asciiTheme="minorHAnsi" w:hAnsiTheme="minorHAnsi" w:cs="Arial"/>
        </w:rPr>
        <w:t xml:space="preserve"> % pour le secteur « Art et Objets de Collection »</w:t>
      </w:r>
      <w:r w:rsidR="008C1F77">
        <w:rPr>
          <w:rFonts w:asciiTheme="minorHAnsi" w:hAnsiTheme="minorHAnsi" w:cs="Arial"/>
        </w:rPr>
        <w:t xml:space="preserve">, </w:t>
      </w:r>
      <w:r w:rsidR="007D3B12">
        <w:rPr>
          <w:rFonts w:asciiTheme="minorHAnsi" w:hAnsiTheme="minorHAnsi" w:cs="Arial"/>
        </w:rPr>
        <w:t>- 1,7 %</w:t>
      </w:r>
      <w:r w:rsidRPr="006B0240">
        <w:rPr>
          <w:rFonts w:asciiTheme="minorHAnsi" w:hAnsiTheme="minorHAnsi" w:cs="Arial"/>
        </w:rPr>
        <w:t xml:space="preserve"> pour le secteur « Véhicules d’Occasion et Matériel Industriel », </w:t>
      </w:r>
      <w:r w:rsidR="003D0E51" w:rsidRPr="006B0240">
        <w:rPr>
          <w:rFonts w:asciiTheme="minorHAnsi" w:hAnsiTheme="minorHAnsi" w:cs="Arial"/>
        </w:rPr>
        <w:t>+</w:t>
      </w:r>
      <w:r w:rsidRPr="006B0240">
        <w:rPr>
          <w:rFonts w:asciiTheme="minorHAnsi" w:hAnsiTheme="minorHAnsi" w:cs="Arial"/>
        </w:rPr>
        <w:t xml:space="preserve"> </w:t>
      </w:r>
      <w:r w:rsidR="007D3B12">
        <w:rPr>
          <w:rFonts w:asciiTheme="minorHAnsi" w:hAnsiTheme="minorHAnsi" w:cs="Arial"/>
        </w:rPr>
        <w:t>3,5</w:t>
      </w:r>
      <w:r w:rsidRPr="006B0240">
        <w:rPr>
          <w:rFonts w:asciiTheme="minorHAnsi" w:hAnsiTheme="minorHAnsi" w:cs="Arial"/>
        </w:rPr>
        <w:t xml:space="preserve"> % pour le secteur « Chevaux »</w:t>
      </w:r>
      <w:r w:rsidR="007D3B12">
        <w:rPr>
          <w:rFonts w:asciiTheme="minorHAnsi" w:hAnsiTheme="minorHAnsi" w:cs="Arial"/>
        </w:rPr>
        <w:t>.</w:t>
      </w:r>
      <w:r w:rsidRPr="006B0240">
        <w:rPr>
          <w:rFonts w:asciiTheme="minorHAnsi" w:hAnsiTheme="minorHAnsi" w:cs="Arial"/>
        </w:rPr>
        <w:t xml:space="preserve"> </w:t>
      </w:r>
    </w:p>
    <w:p w:rsidR="00B01136" w:rsidRPr="006B0240" w:rsidRDefault="00B01136" w:rsidP="00B01136">
      <w:pPr>
        <w:jc w:val="both"/>
        <w:rPr>
          <w:rFonts w:asciiTheme="minorHAnsi" w:hAnsiTheme="minorHAnsi" w:cs="Arial"/>
        </w:rPr>
      </w:pPr>
    </w:p>
    <w:p w:rsidR="00FD02B6" w:rsidRPr="006B0240" w:rsidRDefault="00FD02B6" w:rsidP="00B01136">
      <w:pPr>
        <w:jc w:val="both"/>
        <w:rPr>
          <w:rFonts w:asciiTheme="minorHAnsi" w:hAnsiTheme="minorHAnsi" w:cs="Arial"/>
        </w:rPr>
      </w:pPr>
      <w:r w:rsidRPr="006B0240">
        <w:rPr>
          <w:rFonts w:asciiTheme="minorHAnsi" w:hAnsiTheme="minorHAnsi" w:cs="Arial"/>
          <w:b/>
        </w:rPr>
        <w:t xml:space="preserve">La concentration du marché des ventes aux enchères volontaires observée depuis plus de </w:t>
      </w:r>
      <w:r w:rsidR="00777361">
        <w:rPr>
          <w:rFonts w:asciiTheme="minorHAnsi" w:hAnsiTheme="minorHAnsi" w:cs="Arial"/>
          <w:b/>
        </w:rPr>
        <w:t>six ans</w:t>
      </w:r>
      <w:r w:rsidRPr="006B0240">
        <w:rPr>
          <w:rFonts w:asciiTheme="minorHAnsi" w:hAnsiTheme="minorHAnsi" w:cs="Arial"/>
          <w:b/>
        </w:rPr>
        <w:t xml:space="preserve"> se </w:t>
      </w:r>
      <w:r w:rsidR="007D3B12">
        <w:rPr>
          <w:rFonts w:asciiTheme="minorHAnsi" w:hAnsiTheme="minorHAnsi" w:cs="Arial"/>
          <w:b/>
        </w:rPr>
        <w:t>vérifie.</w:t>
      </w:r>
      <w:r w:rsidRPr="006B0240">
        <w:rPr>
          <w:rFonts w:asciiTheme="minorHAnsi" w:hAnsiTheme="minorHAnsi" w:cs="Arial"/>
        </w:rPr>
        <w:t xml:space="preserve"> </w:t>
      </w:r>
      <w:r w:rsidR="00B01136" w:rsidRPr="006B0240">
        <w:rPr>
          <w:rFonts w:asciiTheme="minorHAnsi" w:hAnsiTheme="minorHAnsi" w:cs="Arial"/>
        </w:rPr>
        <w:t xml:space="preserve">Les 20 opérateurs de ventes les plus importants ont réalisé un montant cumulé d’adjudications de </w:t>
      </w:r>
      <w:r w:rsidR="002B3298">
        <w:rPr>
          <w:rFonts w:asciiTheme="minorHAnsi" w:hAnsiTheme="minorHAnsi" w:cs="Arial"/>
        </w:rPr>
        <w:t>2</w:t>
      </w:r>
      <w:r w:rsidR="008C1F77">
        <w:rPr>
          <w:rFonts w:asciiTheme="minorHAnsi" w:hAnsiTheme="minorHAnsi" w:cs="Arial"/>
        </w:rPr>
        <w:t>,</w:t>
      </w:r>
      <w:r w:rsidR="007D3B12">
        <w:rPr>
          <w:rFonts w:asciiTheme="minorHAnsi" w:hAnsiTheme="minorHAnsi" w:cs="Arial"/>
        </w:rPr>
        <w:t>13</w:t>
      </w:r>
      <w:r w:rsidR="00B01136" w:rsidRPr="006B0240">
        <w:rPr>
          <w:rFonts w:asciiTheme="minorHAnsi" w:hAnsiTheme="minorHAnsi" w:cs="Arial"/>
        </w:rPr>
        <w:t>milliard</w:t>
      </w:r>
      <w:r w:rsidR="00824235">
        <w:rPr>
          <w:rFonts w:asciiTheme="minorHAnsi" w:hAnsiTheme="minorHAnsi" w:cs="Arial"/>
        </w:rPr>
        <w:t>s</w:t>
      </w:r>
      <w:r w:rsidR="00B01136" w:rsidRPr="006B0240">
        <w:rPr>
          <w:rFonts w:asciiTheme="minorHAnsi" w:hAnsiTheme="minorHAnsi" w:cs="Arial"/>
        </w:rPr>
        <w:t xml:space="preserve"> d’euros, soit </w:t>
      </w:r>
      <w:r w:rsidR="002B3298">
        <w:rPr>
          <w:rFonts w:asciiTheme="minorHAnsi" w:hAnsiTheme="minorHAnsi" w:cs="Arial"/>
        </w:rPr>
        <w:t>7</w:t>
      </w:r>
      <w:r w:rsidR="007D3B12">
        <w:rPr>
          <w:rFonts w:asciiTheme="minorHAnsi" w:hAnsiTheme="minorHAnsi" w:cs="Arial"/>
        </w:rPr>
        <w:t>1</w:t>
      </w:r>
      <w:r w:rsidR="00B01136" w:rsidRPr="006B0240">
        <w:rPr>
          <w:rFonts w:asciiTheme="minorHAnsi" w:hAnsiTheme="minorHAnsi" w:cs="Arial"/>
        </w:rPr>
        <w:t xml:space="preserve"> % du montant total adjugé</w:t>
      </w:r>
      <w:r w:rsidR="007D3B12">
        <w:rPr>
          <w:rFonts w:asciiTheme="minorHAnsi" w:hAnsiTheme="minorHAnsi" w:cs="Arial"/>
        </w:rPr>
        <w:t>.</w:t>
      </w:r>
    </w:p>
    <w:p w:rsidR="00FD02B6" w:rsidRPr="006B0240" w:rsidRDefault="00FD02B6" w:rsidP="00B01136">
      <w:pPr>
        <w:jc w:val="both"/>
        <w:rPr>
          <w:rFonts w:asciiTheme="minorHAnsi" w:hAnsiTheme="minorHAnsi" w:cs="Arial"/>
        </w:rPr>
      </w:pPr>
    </w:p>
    <w:p w:rsidR="00FD02B6" w:rsidRPr="006B0240" w:rsidRDefault="002B3298" w:rsidP="00FD02B6">
      <w:pPr>
        <w:jc w:val="both"/>
        <w:rPr>
          <w:rFonts w:asciiTheme="minorHAnsi" w:hAnsiTheme="minorHAnsi" w:cs="Arial"/>
          <w:b/>
          <w:color w:val="1F497D"/>
        </w:rPr>
      </w:pPr>
      <w:r>
        <w:rPr>
          <w:rFonts w:asciiTheme="minorHAnsi" w:hAnsiTheme="minorHAnsi" w:cs="Arial"/>
          <w:b/>
          <w:color w:val="1F497D"/>
        </w:rPr>
        <w:t>S</w:t>
      </w:r>
      <w:r w:rsidR="00FD02B6" w:rsidRPr="006B0240">
        <w:rPr>
          <w:rFonts w:asciiTheme="minorHAnsi" w:hAnsiTheme="minorHAnsi" w:cs="Arial"/>
          <w:b/>
          <w:color w:val="1F497D"/>
        </w:rPr>
        <w:t>ecteur</w:t>
      </w:r>
      <w:r>
        <w:rPr>
          <w:rFonts w:asciiTheme="minorHAnsi" w:hAnsiTheme="minorHAnsi" w:cs="Arial"/>
          <w:b/>
          <w:color w:val="1F497D"/>
        </w:rPr>
        <w:t xml:space="preserve"> « Art et Objets de Collection» : une </w:t>
      </w:r>
      <w:r w:rsidR="00777361">
        <w:rPr>
          <w:rFonts w:asciiTheme="minorHAnsi" w:hAnsiTheme="minorHAnsi" w:cs="Arial"/>
          <w:b/>
          <w:color w:val="1F497D"/>
        </w:rPr>
        <w:t>baisse de 4,1 % qui marque une inflexion par rapport à 2017.</w:t>
      </w:r>
    </w:p>
    <w:p w:rsidR="00FD02B6" w:rsidRPr="006B0240" w:rsidRDefault="00FD02B6" w:rsidP="00FD02B6">
      <w:pPr>
        <w:jc w:val="both"/>
        <w:rPr>
          <w:rFonts w:asciiTheme="minorHAnsi" w:hAnsiTheme="minorHAnsi" w:cs="Arial"/>
          <w:b/>
        </w:rPr>
      </w:pPr>
    </w:p>
    <w:p w:rsidR="002B3298" w:rsidRDefault="004400EA" w:rsidP="004400EA">
      <w:pPr>
        <w:jc w:val="both"/>
        <w:rPr>
          <w:rFonts w:asciiTheme="minorHAnsi" w:hAnsiTheme="minorHAnsi" w:cs="Arial"/>
        </w:rPr>
      </w:pPr>
      <w:r w:rsidRPr="006B0240">
        <w:rPr>
          <w:rFonts w:asciiTheme="minorHAnsi" w:hAnsiTheme="minorHAnsi" w:cs="Arial"/>
          <w:b/>
        </w:rPr>
        <w:t>Cette tendance recouvre deux évolutions de fond</w:t>
      </w:r>
      <w:r w:rsidRPr="006B0240">
        <w:rPr>
          <w:rFonts w:asciiTheme="minorHAnsi" w:hAnsiTheme="minorHAnsi" w:cs="Arial"/>
        </w:rPr>
        <w:t xml:space="preserve"> : </w:t>
      </w:r>
    </w:p>
    <w:p w:rsidR="002B3298" w:rsidRDefault="00777361" w:rsidP="002B3298">
      <w:pPr>
        <w:pStyle w:val="Paragraphedeliste"/>
        <w:numPr>
          <w:ilvl w:val="0"/>
          <w:numId w:val="4"/>
        </w:numPr>
        <w:jc w:val="both"/>
        <w:rPr>
          <w:rFonts w:asciiTheme="minorHAnsi" w:hAnsiTheme="minorHAnsi" w:cs="Arial"/>
        </w:rPr>
      </w:pPr>
      <w:r>
        <w:rPr>
          <w:rFonts w:asciiTheme="minorHAnsi" w:hAnsiTheme="minorHAnsi" w:cs="Arial"/>
        </w:rPr>
        <w:t xml:space="preserve">Des </w:t>
      </w:r>
      <w:r w:rsidR="004400EA" w:rsidRPr="002B3298">
        <w:rPr>
          <w:rFonts w:asciiTheme="minorHAnsi" w:hAnsiTheme="minorHAnsi" w:cs="Arial"/>
        </w:rPr>
        <w:t xml:space="preserve">performances cumulées </w:t>
      </w:r>
      <w:r w:rsidR="002B3298" w:rsidRPr="002B3298">
        <w:rPr>
          <w:rFonts w:asciiTheme="minorHAnsi" w:hAnsiTheme="minorHAnsi" w:cs="Arial"/>
        </w:rPr>
        <w:t xml:space="preserve">du </w:t>
      </w:r>
      <w:r w:rsidR="004400EA" w:rsidRPr="002B3298">
        <w:rPr>
          <w:rFonts w:asciiTheme="minorHAnsi" w:hAnsiTheme="minorHAnsi" w:cs="Arial"/>
        </w:rPr>
        <w:t>top 20</w:t>
      </w:r>
      <w:r w:rsidR="002B3298" w:rsidRPr="002B3298">
        <w:rPr>
          <w:rFonts w:asciiTheme="minorHAnsi" w:hAnsiTheme="minorHAnsi" w:cs="Arial"/>
        </w:rPr>
        <w:t xml:space="preserve"> </w:t>
      </w:r>
      <w:r>
        <w:rPr>
          <w:rFonts w:asciiTheme="minorHAnsi" w:hAnsiTheme="minorHAnsi" w:cs="Arial"/>
        </w:rPr>
        <w:t>en retrait de 7 % de 2017 à 2018 (-66 M€) ; la forte diminution du montant des ventes de Christie’s (-95 M€) n’étant que partiellement compensée par la progression globale des autres maisons de vente. Le top 20 qui concentre toujours un part majoritaire du montant des ventes du secteur (62 % en 2018) détermine la performance globale du secteur ;</w:t>
      </w:r>
    </w:p>
    <w:p w:rsidR="00CF4FB8" w:rsidRDefault="00777361" w:rsidP="002B3298">
      <w:pPr>
        <w:pStyle w:val="Paragraphedeliste"/>
        <w:numPr>
          <w:ilvl w:val="0"/>
          <w:numId w:val="4"/>
        </w:numPr>
        <w:jc w:val="both"/>
        <w:rPr>
          <w:rFonts w:asciiTheme="minorHAnsi" w:hAnsiTheme="minorHAnsi" w:cs="Arial"/>
        </w:rPr>
      </w:pPr>
      <w:r>
        <w:rPr>
          <w:rFonts w:asciiTheme="minorHAnsi" w:hAnsiTheme="minorHAnsi" w:cs="Arial"/>
        </w:rPr>
        <w:t>Plus d’un</w:t>
      </w:r>
      <w:r w:rsidR="00CF4FB8">
        <w:rPr>
          <w:rFonts w:asciiTheme="minorHAnsi" w:hAnsiTheme="minorHAnsi" w:cs="Arial"/>
        </w:rPr>
        <w:t xml:space="preserve"> opérateur de ventes sur deux (5</w:t>
      </w:r>
      <w:r>
        <w:rPr>
          <w:rFonts w:asciiTheme="minorHAnsi" w:hAnsiTheme="minorHAnsi" w:cs="Arial"/>
        </w:rPr>
        <w:t>6</w:t>
      </w:r>
      <w:r w:rsidR="00CF4FB8">
        <w:rPr>
          <w:rFonts w:asciiTheme="minorHAnsi" w:hAnsiTheme="minorHAnsi" w:cs="Arial"/>
        </w:rPr>
        <w:t xml:space="preserve"> %</w:t>
      </w:r>
      <w:r>
        <w:rPr>
          <w:rFonts w:asciiTheme="minorHAnsi" w:hAnsiTheme="minorHAnsi" w:cs="Arial"/>
        </w:rPr>
        <w:t xml:space="preserve"> en 2018 contre 51 % en 2017) d</w:t>
      </w:r>
      <w:r w:rsidR="00CF4FB8">
        <w:rPr>
          <w:rFonts w:asciiTheme="minorHAnsi" w:hAnsiTheme="minorHAnsi" w:cs="Arial"/>
        </w:rPr>
        <w:t xml:space="preserve">éclare un montant de ventes en baisse par rapport à </w:t>
      </w:r>
      <w:r>
        <w:rPr>
          <w:rFonts w:asciiTheme="minorHAnsi" w:hAnsiTheme="minorHAnsi" w:cs="Arial"/>
        </w:rPr>
        <w:t>l’année précédente.</w:t>
      </w:r>
      <w:r w:rsidR="00451C47">
        <w:rPr>
          <w:rFonts w:asciiTheme="minorHAnsi" w:hAnsiTheme="minorHAnsi" w:cs="Arial"/>
        </w:rPr>
        <w:t xml:space="preserve"> Les « petits » opérateurs (ceux qui réalisent moins de 2 M€ par an de montant de ventes), qui représentent 71 % du nombre des opérateurs du secteur mais seulement 14 % du montant total des ventes du secteur, sont majoritairement affectés par la baisse. </w:t>
      </w:r>
    </w:p>
    <w:p w:rsidR="00451C47" w:rsidRDefault="00451C47" w:rsidP="00451C47">
      <w:pPr>
        <w:pStyle w:val="Paragraphedeliste"/>
        <w:jc w:val="both"/>
        <w:rPr>
          <w:rFonts w:asciiTheme="minorHAnsi" w:hAnsiTheme="minorHAnsi" w:cs="Arial"/>
        </w:rPr>
      </w:pPr>
      <w:r>
        <w:rPr>
          <w:rFonts w:asciiTheme="minorHAnsi" w:hAnsiTheme="minorHAnsi" w:cs="Arial"/>
        </w:rPr>
        <w:lastRenderedPageBreak/>
        <w:t>Deux indicateurs illustrent cette tendance à la baisse des ventes </w:t>
      </w:r>
      <w:r w:rsidR="00C24B38">
        <w:rPr>
          <w:rFonts w:asciiTheme="minorHAnsi" w:hAnsiTheme="minorHAnsi" w:cs="Arial"/>
        </w:rPr>
        <w:t xml:space="preserve">qui affecte tant le haut que le bas du marché </w:t>
      </w:r>
      <w:r>
        <w:rPr>
          <w:rFonts w:asciiTheme="minorHAnsi" w:hAnsiTheme="minorHAnsi" w:cs="Arial"/>
        </w:rPr>
        <w:t>:</w:t>
      </w:r>
    </w:p>
    <w:p w:rsidR="00451C47" w:rsidRDefault="00451C47" w:rsidP="00451C47">
      <w:pPr>
        <w:pStyle w:val="Paragraphedeliste"/>
        <w:jc w:val="both"/>
        <w:rPr>
          <w:rFonts w:asciiTheme="minorHAnsi" w:hAnsiTheme="minorHAnsi" w:cs="Arial"/>
        </w:rPr>
      </w:pPr>
    </w:p>
    <w:p w:rsidR="00451C47" w:rsidRDefault="00451C47" w:rsidP="00451C47">
      <w:pPr>
        <w:pStyle w:val="Paragraphedeliste"/>
        <w:numPr>
          <w:ilvl w:val="0"/>
          <w:numId w:val="4"/>
        </w:numPr>
        <w:jc w:val="both"/>
        <w:rPr>
          <w:rFonts w:asciiTheme="minorHAnsi" w:hAnsiTheme="minorHAnsi" w:cs="Arial"/>
        </w:rPr>
      </w:pPr>
      <w:r>
        <w:rPr>
          <w:rFonts w:asciiTheme="minorHAnsi" w:hAnsiTheme="minorHAnsi" w:cs="Arial"/>
        </w:rPr>
        <w:t xml:space="preserve">Pour le « haut de gamme », capté par les principales maisons de vente : une baisse du nombre d’œuvres millionnaires (9 % en nombre de lots vendus ; 21 % en montant de ventes) de 2017 à 2018. </w:t>
      </w:r>
    </w:p>
    <w:p w:rsidR="00451C47" w:rsidRPr="002B3298" w:rsidRDefault="00451C47" w:rsidP="00451C47">
      <w:pPr>
        <w:pStyle w:val="Paragraphedeliste"/>
        <w:numPr>
          <w:ilvl w:val="0"/>
          <w:numId w:val="4"/>
        </w:numPr>
        <w:jc w:val="both"/>
        <w:rPr>
          <w:rFonts w:asciiTheme="minorHAnsi" w:hAnsiTheme="minorHAnsi" w:cs="Arial"/>
        </w:rPr>
      </w:pPr>
      <w:r>
        <w:rPr>
          <w:rFonts w:asciiTheme="minorHAnsi" w:hAnsiTheme="minorHAnsi" w:cs="Arial"/>
        </w:rPr>
        <w:t xml:space="preserve">Pour les ventes courantes, lesquelles sont effectuées à 71 % par des maisons de vente de province une diminution du montant des ventes de 17 %. </w:t>
      </w:r>
    </w:p>
    <w:p w:rsidR="004400EA" w:rsidRPr="006B0240" w:rsidRDefault="004400EA" w:rsidP="009D19A2">
      <w:pPr>
        <w:jc w:val="both"/>
        <w:rPr>
          <w:rFonts w:asciiTheme="minorHAnsi" w:hAnsiTheme="minorHAnsi" w:cs="Arial"/>
        </w:rPr>
      </w:pPr>
    </w:p>
    <w:p w:rsidR="00BD65D4" w:rsidRDefault="00FD02B6" w:rsidP="00FD02B6">
      <w:pPr>
        <w:jc w:val="both"/>
        <w:rPr>
          <w:rFonts w:asciiTheme="minorHAnsi" w:hAnsiTheme="minorHAnsi" w:cs="Arial"/>
        </w:rPr>
      </w:pPr>
      <w:r w:rsidRPr="006B0240">
        <w:rPr>
          <w:rFonts w:asciiTheme="minorHAnsi" w:hAnsiTheme="minorHAnsi" w:cs="Arial"/>
          <w:b/>
        </w:rPr>
        <w:t>Christie's</w:t>
      </w:r>
      <w:r w:rsidRPr="006B0240">
        <w:rPr>
          <w:rFonts w:asciiTheme="minorHAnsi" w:hAnsiTheme="minorHAnsi" w:cs="Arial"/>
        </w:rPr>
        <w:t xml:space="preserve"> enregistre </w:t>
      </w:r>
      <w:r w:rsidR="00617116">
        <w:rPr>
          <w:rFonts w:asciiTheme="minorHAnsi" w:hAnsiTheme="minorHAnsi" w:cs="Arial"/>
        </w:rPr>
        <w:t>180</w:t>
      </w:r>
      <w:r w:rsidRPr="006B0240">
        <w:rPr>
          <w:rFonts w:asciiTheme="minorHAnsi" w:hAnsiTheme="minorHAnsi" w:cs="Arial"/>
        </w:rPr>
        <w:t xml:space="preserve"> millions d’euros, en </w:t>
      </w:r>
      <w:r w:rsidR="00617116">
        <w:rPr>
          <w:rFonts w:asciiTheme="minorHAnsi" w:hAnsiTheme="minorHAnsi" w:cs="Arial"/>
        </w:rPr>
        <w:t xml:space="preserve">baisse de 35 % </w:t>
      </w:r>
      <w:r w:rsidRPr="006B0240">
        <w:rPr>
          <w:rFonts w:asciiTheme="minorHAnsi" w:hAnsiTheme="minorHAnsi" w:cs="Arial"/>
        </w:rPr>
        <w:t>par rapport à 201</w:t>
      </w:r>
      <w:r w:rsidR="00617116">
        <w:rPr>
          <w:rFonts w:asciiTheme="minorHAnsi" w:hAnsiTheme="minorHAnsi" w:cs="Arial"/>
        </w:rPr>
        <w:t xml:space="preserve">7 </w:t>
      </w:r>
      <w:r w:rsidR="004400EA" w:rsidRPr="006B0240">
        <w:rPr>
          <w:rFonts w:asciiTheme="minorHAnsi" w:hAnsiTheme="minorHAnsi" w:cs="Arial"/>
        </w:rPr>
        <w:t xml:space="preserve">et </w:t>
      </w:r>
      <w:r w:rsidR="00617116">
        <w:rPr>
          <w:rFonts w:asciiTheme="minorHAnsi" w:hAnsiTheme="minorHAnsi" w:cs="Arial"/>
        </w:rPr>
        <w:t xml:space="preserve">cède la </w:t>
      </w:r>
      <w:r w:rsidRPr="006B0240">
        <w:rPr>
          <w:rFonts w:asciiTheme="minorHAnsi" w:hAnsiTheme="minorHAnsi" w:cs="Arial"/>
        </w:rPr>
        <w:t xml:space="preserve"> première place en France </w:t>
      </w:r>
      <w:r w:rsidR="00617116">
        <w:rPr>
          <w:rFonts w:asciiTheme="minorHAnsi" w:hAnsiTheme="minorHAnsi" w:cs="Arial"/>
        </w:rPr>
        <w:t xml:space="preserve">à Sotheby’s </w:t>
      </w:r>
      <w:r w:rsidRPr="006B0240">
        <w:rPr>
          <w:rFonts w:asciiTheme="minorHAnsi" w:hAnsiTheme="minorHAnsi" w:cs="Arial"/>
        </w:rPr>
        <w:t>en 201</w:t>
      </w:r>
      <w:r w:rsidR="00617116">
        <w:rPr>
          <w:rFonts w:asciiTheme="minorHAnsi" w:hAnsiTheme="minorHAnsi" w:cs="Arial"/>
        </w:rPr>
        <w:t>8</w:t>
      </w:r>
      <w:r w:rsidR="004400EA" w:rsidRPr="006B0240">
        <w:rPr>
          <w:rFonts w:asciiTheme="minorHAnsi" w:hAnsiTheme="minorHAnsi" w:cs="Arial"/>
        </w:rPr>
        <w:t xml:space="preserve">. </w:t>
      </w:r>
      <w:r w:rsidR="00617116">
        <w:rPr>
          <w:rFonts w:asciiTheme="minorHAnsi" w:hAnsiTheme="minorHAnsi" w:cs="Arial"/>
        </w:rPr>
        <w:t xml:space="preserve">Cette baisse est surtout marquée en </w:t>
      </w:r>
      <w:r w:rsidR="00003232">
        <w:rPr>
          <w:rFonts w:asciiTheme="minorHAnsi" w:hAnsiTheme="minorHAnsi" w:cs="Arial"/>
        </w:rPr>
        <w:t>« art d</w:t>
      </w:r>
      <w:r w:rsidR="00CF4FB8">
        <w:rPr>
          <w:rFonts w:asciiTheme="minorHAnsi" w:hAnsiTheme="minorHAnsi" w:cs="Arial"/>
        </w:rPr>
        <w:t>’après-guerre et contemporain »</w:t>
      </w:r>
      <w:r w:rsidR="00617116">
        <w:rPr>
          <w:rFonts w:asciiTheme="minorHAnsi" w:hAnsiTheme="minorHAnsi" w:cs="Arial"/>
        </w:rPr>
        <w:t xml:space="preserve"> et</w:t>
      </w:r>
      <w:r w:rsidR="00CF4FB8">
        <w:rPr>
          <w:rFonts w:asciiTheme="minorHAnsi" w:hAnsiTheme="minorHAnsi" w:cs="Arial"/>
        </w:rPr>
        <w:t xml:space="preserve"> </w:t>
      </w:r>
      <w:r w:rsidR="000C14C0">
        <w:rPr>
          <w:rFonts w:asciiTheme="minorHAnsi" w:hAnsiTheme="minorHAnsi" w:cs="Arial"/>
        </w:rPr>
        <w:t xml:space="preserve"> en </w:t>
      </w:r>
      <w:r w:rsidR="00CF4FB8">
        <w:rPr>
          <w:rFonts w:asciiTheme="minorHAnsi" w:hAnsiTheme="minorHAnsi" w:cs="Arial"/>
        </w:rPr>
        <w:t>« mobilier et objets d’art du XXème siècle »</w:t>
      </w:r>
      <w:r w:rsidR="00617116">
        <w:rPr>
          <w:rFonts w:asciiTheme="minorHAnsi" w:hAnsiTheme="minorHAnsi" w:cs="Arial"/>
        </w:rPr>
        <w:t xml:space="preserve"> dont les montants en 2017 avaient été dopés par la dispersion de deux collections majeures (les Diego Giacometti de la collection d’Hubert de Givenchy ; la collection d’art contemporain de Jean-François et Marie-Aline Prat) d’un montant cumulé supérieur à </w:t>
      </w:r>
      <w:r w:rsidR="000C14C0">
        <w:rPr>
          <w:rFonts w:asciiTheme="minorHAnsi" w:hAnsiTheme="minorHAnsi" w:cs="Arial"/>
        </w:rPr>
        <w:t xml:space="preserve">61 millions d’euros (hors frais). </w:t>
      </w:r>
    </w:p>
    <w:p w:rsidR="00FD02B6" w:rsidRPr="006B0240" w:rsidRDefault="00FD02B6" w:rsidP="00FD02B6">
      <w:pPr>
        <w:jc w:val="both"/>
        <w:rPr>
          <w:rFonts w:asciiTheme="minorHAnsi" w:hAnsiTheme="minorHAnsi" w:cs="Arial"/>
        </w:rPr>
      </w:pPr>
    </w:p>
    <w:p w:rsidR="006B0240" w:rsidRDefault="00FD02B6" w:rsidP="00FD02B6">
      <w:pPr>
        <w:widowControl w:val="0"/>
        <w:autoSpaceDE w:val="0"/>
        <w:autoSpaceDN w:val="0"/>
        <w:adjustRightInd w:val="0"/>
        <w:jc w:val="both"/>
        <w:rPr>
          <w:rFonts w:asciiTheme="minorHAnsi" w:hAnsiTheme="minorHAnsi" w:cs="Arial"/>
          <w:color w:val="1A1A1A"/>
          <w:lang w:eastAsia="fr-FR"/>
        </w:rPr>
      </w:pPr>
      <w:r w:rsidRPr="006B0240">
        <w:rPr>
          <w:rFonts w:asciiTheme="minorHAnsi" w:hAnsiTheme="minorHAnsi" w:cs="Arial"/>
          <w:b/>
          <w:color w:val="1A1A1A"/>
          <w:lang w:eastAsia="fr-FR"/>
        </w:rPr>
        <w:t>Sotheby's</w:t>
      </w:r>
      <w:r w:rsidRPr="006B0240">
        <w:rPr>
          <w:rFonts w:asciiTheme="minorHAnsi" w:hAnsiTheme="minorHAnsi" w:cs="Arial"/>
          <w:color w:val="1A1A1A"/>
          <w:lang w:eastAsia="fr-FR"/>
        </w:rPr>
        <w:t xml:space="preserve"> avec un produit des ventes </w:t>
      </w:r>
      <w:r w:rsidRPr="006B0240">
        <w:rPr>
          <w:rFonts w:asciiTheme="minorHAnsi" w:hAnsiTheme="minorHAnsi" w:cs="Arial"/>
          <w:lang w:eastAsia="fr-FR"/>
        </w:rPr>
        <w:t xml:space="preserve">de </w:t>
      </w:r>
      <w:r w:rsidR="000C14C0">
        <w:rPr>
          <w:rFonts w:asciiTheme="minorHAnsi" w:hAnsiTheme="minorHAnsi" w:cs="Arial"/>
          <w:lang w:eastAsia="fr-FR"/>
        </w:rPr>
        <w:t>196</w:t>
      </w:r>
      <w:r w:rsidRPr="006B0240">
        <w:rPr>
          <w:rFonts w:asciiTheme="minorHAnsi" w:hAnsiTheme="minorHAnsi" w:cs="Arial"/>
          <w:color w:val="FF0000"/>
          <w:lang w:eastAsia="fr-FR"/>
        </w:rPr>
        <w:t xml:space="preserve"> </w:t>
      </w:r>
      <w:r w:rsidRPr="006B0240">
        <w:rPr>
          <w:rFonts w:asciiTheme="minorHAnsi" w:hAnsiTheme="minorHAnsi" w:cs="Arial"/>
          <w:color w:val="1A1A1A"/>
          <w:lang w:eastAsia="fr-FR"/>
        </w:rPr>
        <w:t xml:space="preserve">millions d'euros, </w:t>
      </w:r>
      <w:r w:rsidR="000C14C0">
        <w:rPr>
          <w:rFonts w:asciiTheme="minorHAnsi" w:hAnsiTheme="minorHAnsi" w:cs="Arial"/>
          <w:color w:val="1A1A1A"/>
          <w:lang w:eastAsia="fr-FR"/>
        </w:rPr>
        <w:t xml:space="preserve">en léger replis de 3 % par rapport à 2017, prend la </w:t>
      </w:r>
      <w:r w:rsidR="000C14C0" w:rsidRPr="000C14C0">
        <w:rPr>
          <w:rFonts w:asciiTheme="minorHAnsi" w:hAnsiTheme="minorHAnsi" w:cs="Arial"/>
          <w:color w:val="1A1A1A"/>
          <w:lang w:eastAsia="fr-FR"/>
        </w:rPr>
        <w:t>deuxième place du classement</w:t>
      </w:r>
      <w:r w:rsidR="000C14C0">
        <w:rPr>
          <w:rFonts w:asciiTheme="minorHAnsi" w:hAnsiTheme="minorHAnsi" w:cs="Arial"/>
          <w:color w:val="1A1A1A"/>
          <w:lang w:eastAsia="fr-FR"/>
        </w:rPr>
        <w:t xml:space="preserve">. Si ses ventes </w:t>
      </w:r>
      <w:r w:rsidR="00904EB5">
        <w:rPr>
          <w:rFonts w:asciiTheme="minorHAnsi" w:hAnsiTheme="minorHAnsi" w:cs="Arial"/>
          <w:color w:val="1A1A1A"/>
          <w:lang w:eastAsia="fr-FR"/>
        </w:rPr>
        <w:t>en « Art d’après</w:t>
      </w:r>
      <w:r w:rsidR="00003232">
        <w:rPr>
          <w:rFonts w:asciiTheme="minorHAnsi" w:hAnsiTheme="minorHAnsi" w:cs="Arial"/>
          <w:color w:val="1A1A1A"/>
          <w:lang w:eastAsia="fr-FR"/>
        </w:rPr>
        <w:t>-</w:t>
      </w:r>
      <w:r w:rsidR="00904EB5">
        <w:rPr>
          <w:rFonts w:asciiTheme="minorHAnsi" w:hAnsiTheme="minorHAnsi" w:cs="Arial"/>
          <w:color w:val="1A1A1A"/>
          <w:lang w:eastAsia="fr-FR"/>
        </w:rPr>
        <w:t xml:space="preserve">guerre et contemporain » </w:t>
      </w:r>
      <w:r w:rsidR="000C14C0">
        <w:rPr>
          <w:rFonts w:asciiTheme="minorHAnsi" w:hAnsiTheme="minorHAnsi" w:cs="Arial"/>
          <w:color w:val="1A1A1A"/>
          <w:lang w:eastAsia="fr-FR"/>
        </w:rPr>
        <w:t>et en «Arts d’Asie, Arts Premiers, et archéologie » progressent, en revanche</w:t>
      </w:r>
      <w:r w:rsidR="00266523">
        <w:rPr>
          <w:rFonts w:asciiTheme="minorHAnsi" w:hAnsiTheme="minorHAnsi" w:cs="Arial"/>
          <w:color w:val="1A1A1A"/>
          <w:lang w:eastAsia="fr-FR"/>
        </w:rPr>
        <w:t>,</w:t>
      </w:r>
      <w:r w:rsidR="000C14C0">
        <w:rPr>
          <w:rFonts w:asciiTheme="minorHAnsi" w:hAnsiTheme="minorHAnsi" w:cs="Arial"/>
          <w:color w:val="1A1A1A"/>
          <w:lang w:eastAsia="fr-FR"/>
        </w:rPr>
        <w:t xml:space="preserve"> elles diminuent significativement tant en « mobilier et objets d’arts anciens » </w:t>
      </w:r>
      <w:proofErr w:type="spellStart"/>
      <w:r w:rsidR="000C14C0">
        <w:rPr>
          <w:rFonts w:asciiTheme="minorHAnsi" w:hAnsiTheme="minorHAnsi" w:cs="Arial"/>
          <w:color w:val="1A1A1A"/>
          <w:lang w:eastAsia="fr-FR"/>
        </w:rPr>
        <w:t>qu’en</w:t>
      </w:r>
      <w:proofErr w:type="spellEnd"/>
      <w:r w:rsidR="000C14C0">
        <w:rPr>
          <w:rFonts w:asciiTheme="minorHAnsi" w:hAnsiTheme="minorHAnsi" w:cs="Arial"/>
          <w:color w:val="1A1A1A"/>
          <w:lang w:eastAsia="fr-FR"/>
        </w:rPr>
        <w:t xml:space="preserve"> </w:t>
      </w:r>
      <w:r w:rsidR="00CF4FB8" w:rsidRPr="00CF4FB8">
        <w:rPr>
          <w:rFonts w:asciiTheme="minorHAnsi" w:hAnsiTheme="minorHAnsi" w:cs="Arial"/>
          <w:color w:val="1A1A1A"/>
          <w:lang w:eastAsia="fr-FR"/>
        </w:rPr>
        <w:t>« mobilier et objets d’art du XXème siècle »</w:t>
      </w:r>
      <w:r w:rsidR="000C14C0">
        <w:rPr>
          <w:rFonts w:asciiTheme="minorHAnsi" w:hAnsiTheme="minorHAnsi" w:cs="Arial"/>
          <w:color w:val="1A1A1A"/>
          <w:lang w:eastAsia="fr-FR"/>
        </w:rPr>
        <w:t xml:space="preserve">, cette dernière spécialité ayant été fortement dopée en 2017 par la dispersion de la collection </w:t>
      </w:r>
      <w:r w:rsidR="004C18CC">
        <w:rPr>
          <w:rFonts w:asciiTheme="minorHAnsi" w:hAnsiTheme="minorHAnsi" w:cs="Arial"/>
          <w:color w:val="1A1A1A"/>
          <w:lang w:eastAsia="fr-FR"/>
        </w:rPr>
        <w:t xml:space="preserve">Jacques Grange </w:t>
      </w:r>
      <w:r w:rsidR="000C14C0">
        <w:rPr>
          <w:rFonts w:asciiTheme="minorHAnsi" w:hAnsiTheme="minorHAnsi" w:cs="Arial"/>
          <w:color w:val="1A1A1A"/>
          <w:lang w:eastAsia="fr-FR"/>
        </w:rPr>
        <w:t>d’œuvres de</w:t>
      </w:r>
      <w:r w:rsidR="004C18CC">
        <w:rPr>
          <w:rFonts w:asciiTheme="minorHAnsi" w:hAnsiTheme="minorHAnsi" w:cs="Arial"/>
          <w:color w:val="1A1A1A"/>
          <w:lang w:eastAsia="fr-FR"/>
        </w:rPr>
        <w:t xml:space="preserve"> design (plus de 23 M€, hors frais).</w:t>
      </w:r>
    </w:p>
    <w:p w:rsidR="004C18CC" w:rsidRPr="006B0240" w:rsidRDefault="004C18CC" w:rsidP="00FD02B6">
      <w:pPr>
        <w:widowControl w:val="0"/>
        <w:autoSpaceDE w:val="0"/>
        <w:autoSpaceDN w:val="0"/>
        <w:adjustRightInd w:val="0"/>
        <w:jc w:val="both"/>
        <w:rPr>
          <w:rFonts w:asciiTheme="minorHAnsi" w:hAnsiTheme="minorHAnsi" w:cs="Arial"/>
          <w:color w:val="1A1A1A"/>
          <w:lang w:eastAsia="fr-FR"/>
        </w:rPr>
      </w:pPr>
    </w:p>
    <w:p w:rsidR="00FD02B6" w:rsidRPr="006B0240" w:rsidRDefault="00FD02B6" w:rsidP="00FD02B6">
      <w:pPr>
        <w:widowControl w:val="0"/>
        <w:autoSpaceDE w:val="0"/>
        <w:autoSpaceDN w:val="0"/>
        <w:adjustRightInd w:val="0"/>
        <w:jc w:val="both"/>
        <w:rPr>
          <w:rFonts w:asciiTheme="minorHAnsi" w:hAnsiTheme="minorHAnsi" w:cs="Arial"/>
          <w:b/>
          <w:color w:val="1A1A1A"/>
          <w:lang w:eastAsia="fr-FR"/>
        </w:rPr>
      </w:pPr>
      <w:r w:rsidRPr="006B0240">
        <w:rPr>
          <w:rFonts w:asciiTheme="minorHAnsi" w:hAnsiTheme="minorHAnsi" w:cs="Arial"/>
          <w:b/>
          <w:color w:val="1A1A1A"/>
          <w:lang w:eastAsia="fr-FR"/>
        </w:rPr>
        <w:t xml:space="preserve">Artcurial, </w:t>
      </w:r>
      <w:r w:rsidRPr="006B0240">
        <w:rPr>
          <w:rFonts w:asciiTheme="minorHAnsi" w:hAnsiTheme="minorHAnsi" w:cs="Arial"/>
          <w:color w:val="1A1A1A"/>
          <w:lang w:eastAsia="fr-FR"/>
        </w:rPr>
        <w:t>avec un montant de ventes aux enchères de 1</w:t>
      </w:r>
      <w:r w:rsidR="004B1230">
        <w:rPr>
          <w:rFonts w:asciiTheme="minorHAnsi" w:hAnsiTheme="minorHAnsi" w:cs="Arial"/>
          <w:color w:val="1A1A1A"/>
          <w:lang w:eastAsia="fr-FR"/>
        </w:rPr>
        <w:t>51</w:t>
      </w:r>
      <w:r w:rsidRPr="006B0240">
        <w:rPr>
          <w:rFonts w:asciiTheme="minorHAnsi" w:hAnsiTheme="minorHAnsi" w:cs="Arial"/>
          <w:color w:val="1A1A1A"/>
          <w:lang w:eastAsia="fr-FR"/>
        </w:rPr>
        <w:t xml:space="preserve"> M€, </w:t>
      </w:r>
      <w:r w:rsidR="004B1230">
        <w:rPr>
          <w:rFonts w:asciiTheme="minorHAnsi" w:hAnsiTheme="minorHAnsi" w:cs="Arial"/>
          <w:color w:val="1A1A1A"/>
          <w:lang w:eastAsia="fr-FR"/>
        </w:rPr>
        <w:t xml:space="preserve">quasiment stable </w:t>
      </w:r>
      <w:r w:rsidR="00CF4FB8">
        <w:rPr>
          <w:rFonts w:asciiTheme="minorHAnsi" w:hAnsiTheme="minorHAnsi" w:cs="Arial"/>
          <w:color w:val="1A1A1A"/>
          <w:lang w:eastAsia="fr-FR"/>
        </w:rPr>
        <w:t>par rapport à 201</w:t>
      </w:r>
      <w:r w:rsidR="004B1230">
        <w:rPr>
          <w:rFonts w:asciiTheme="minorHAnsi" w:hAnsiTheme="minorHAnsi" w:cs="Arial"/>
          <w:color w:val="1A1A1A"/>
          <w:lang w:eastAsia="fr-FR"/>
        </w:rPr>
        <w:t>7</w:t>
      </w:r>
      <w:r w:rsidR="00CF4FB8">
        <w:rPr>
          <w:rFonts w:asciiTheme="minorHAnsi" w:hAnsiTheme="minorHAnsi" w:cs="Arial"/>
          <w:color w:val="1A1A1A"/>
          <w:lang w:eastAsia="fr-FR"/>
        </w:rPr>
        <w:t xml:space="preserve">, </w:t>
      </w:r>
      <w:r w:rsidR="004B1230">
        <w:rPr>
          <w:rFonts w:asciiTheme="minorHAnsi" w:hAnsiTheme="minorHAnsi" w:cs="Arial"/>
          <w:color w:val="1A1A1A"/>
          <w:lang w:eastAsia="fr-FR"/>
        </w:rPr>
        <w:t>conforte sa</w:t>
      </w:r>
      <w:r w:rsidRPr="006B0240">
        <w:rPr>
          <w:rFonts w:asciiTheme="minorHAnsi" w:hAnsiTheme="minorHAnsi" w:cs="Arial"/>
          <w:color w:val="1A1A1A"/>
          <w:lang w:eastAsia="fr-FR"/>
        </w:rPr>
        <w:t xml:space="preserve"> troisième place du classement</w:t>
      </w:r>
      <w:r w:rsidRPr="006B0240">
        <w:rPr>
          <w:rFonts w:asciiTheme="minorHAnsi" w:hAnsiTheme="minorHAnsi" w:cs="Arial"/>
          <w:b/>
          <w:color w:val="1A1A1A"/>
          <w:lang w:eastAsia="fr-FR"/>
        </w:rPr>
        <w:t xml:space="preserve">. </w:t>
      </w:r>
    </w:p>
    <w:p w:rsidR="006B0240" w:rsidRPr="006B0240" w:rsidRDefault="006B0240" w:rsidP="00FD02B6">
      <w:pPr>
        <w:widowControl w:val="0"/>
        <w:autoSpaceDE w:val="0"/>
        <w:autoSpaceDN w:val="0"/>
        <w:adjustRightInd w:val="0"/>
        <w:jc w:val="both"/>
        <w:rPr>
          <w:rFonts w:asciiTheme="minorHAnsi" w:hAnsiTheme="minorHAnsi" w:cs="Arial"/>
          <w:color w:val="1A1A1A"/>
          <w:lang w:eastAsia="fr-FR"/>
        </w:rPr>
      </w:pPr>
    </w:p>
    <w:p w:rsidR="00FD02B6" w:rsidRPr="006B0240" w:rsidRDefault="00FD02B6" w:rsidP="00FD02B6">
      <w:pPr>
        <w:widowControl w:val="0"/>
        <w:autoSpaceDE w:val="0"/>
        <w:autoSpaceDN w:val="0"/>
        <w:adjustRightInd w:val="0"/>
        <w:jc w:val="both"/>
        <w:rPr>
          <w:rFonts w:asciiTheme="minorHAnsi" w:hAnsiTheme="minorHAnsi" w:cs="Arial"/>
          <w:color w:val="1A1A1A"/>
          <w:lang w:eastAsia="fr-FR"/>
        </w:rPr>
      </w:pPr>
      <w:r w:rsidRPr="006B0240">
        <w:rPr>
          <w:rFonts w:asciiTheme="minorHAnsi" w:hAnsiTheme="minorHAnsi" w:cs="Arial"/>
          <w:color w:val="1A1A1A"/>
          <w:lang w:eastAsia="fr-FR"/>
        </w:rPr>
        <w:t xml:space="preserve">Drouot, </w:t>
      </w:r>
      <w:r w:rsidR="00DF28A6">
        <w:rPr>
          <w:rFonts w:asciiTheme="minorHAnsi" w:hAnsiTheme="minorHAnsi" w:cs="Arial"/>
          <w:color w:val="1A1A1A"/>
          <w:lang w:eastAsia="fr-FR"/>
        </w:rPr>
        <w:t xml:space="preserve">voit sa </w:t>
      </w:r>
      <w:r w:rsidRPr="006B0240">
        <w:rPr>
          <w:rFonts w:asciiTheme="minorHAnsi" w:hAnsiTheme="minorHAnsi" w:cs="Arial"/>
          <w:color w:val="1A1A1A"/>
          <w:lang w:eastAsia="fr-FR"/>
        </w:rPr>
        <w:t xml:space="preserve">part de marché </w:t>
      </w:r>
      <w:r w:rsidR="00DF28A6">
        <w:rPr>
          <w:rFonts w:asciiTheme="minorHAnsi" w:hAnsiTheme="minorHAnsi" w:cs="Arial"/>
          <w:color w:val="1A1A1A"/>
          <w:lang w:eastAsia="fr-FR"/>
        </w:rPr>
        <w:t>se re</w:t>
      </w:r>
      <w:r w:rsidR="001809AC">
        <w:rPr>
          <w:rFonts w:asciiTheme="minorHAnsi" w:hAnsiTheme="minorHAnsi" w:cs="Arial"/>
          <w:color w:val="1A1A1A"/>
          <w:lang w:eastAsia="fr-FR"/>
        </w:rPr>
        <w:t>dresser d’un point en 201</w:t>
      </w:r>
      <w:r w:rsidR="004B1230">
        <w:rPr>
          <w:rFonts w:asciiTheme="minorHAnsi" w:hAnsiTheme="minorHAnsi" w:cs="Arial"/>
          <w:color w:val="1A1A1A"/>
          <w:lang w:eastAsia="fr-FR"/>
        </w:rPr>
        <w:t>8</w:t>
      </w:r>
      <w:r w:rsidR="001809AC">
        <w:rPr>
          <w:rFonts w:asciiTheme="minorHAnsi" w:hAnsiTheme="minorHAnsi" w:cs="Arial"/>
          <w:color w:val="1A1A1A"/>
          <w:lang w:eastAsia="fr-FR"/>
        </w:rPr>
        <w:t xml:space="preserve"> (</w:t>
      </w:r>
      <w:r w:rsidRPr="006B0240">
        <w:rPr>
          <w:rFonts w:asciiTheme="minorHAnsi" w:hAnsiTheme="minorHAnsi" w:cs="Arial"/>
          <w:color w:val="1A1A1A"/>
          <w:lang w:eastAsia="fr-FR"/>
        </w:rPr>
        <w:t xml:space="preserve">Il représente désormais </w:t>
      </w:r>
      <w:r w:rsidR="00E25046">
        <w:rPr>
          <w:rFonts w:asciiTheme="minorHAnsi" w:hAnsiTheme="minorHAnsi" w:cs="Arial"/>
          <w:color w:val="1A1A1A"/>
          <w:lang w:eastAsia="fr-FR"/>
        </w:rPr>
        <w:t xml:space="preserve">    </w:t>
      </w:r>
      <w:r w:rsidRPr="006B0240">
        <w:rPr>
          <w:rFonts w:asciiTheme="minorHAnsi" w:hAnsiTheme="minorHAnsi" w:cs="Arial"/>
          <w:color w:val="1A1A1A"/>
          <w:lang w:eastAsia="fr-FR"/>
        </w:rPr>
        <w:t>3</w:t>
      </w:r>
      <w:r w:rsidR="001809AC">
        <w:rPr>
          <w:rFonts w:asciiTheme="minorHAnsi" w:hAnsiTheme="minorHAnsi" w:cs="Arial"/>
          <w:color w:val="1A1A1A"/>
          <w:lang w:eastAsia="fr-FR"/>
        </w:rPr>
        <w:t>2</w:t>
      </w:r>
      <w:r w:rsidRPr="006B0240">
        <w:rPr>
          <w:rFonts w:asciiTheme="minorHAnsi" w:hAnsiTheme="minorHAnsi" w:cs="Arial"/>
          <w:color w:val="1A1A1A"/>
          <w:lang w:eastAsia="fr-FR"/>
        </w:rPr>
        <w:t xml:space="preserve"> % du montant total adjugé hors frais en ventes aux enchères à Paris</w:t>
      </w:r>
      <w:r w:rsidR="001809AC">
        <w:rPr>
          <w:rFonts w:asciiTheme="minorHAnsi" w:hAnsiTheme="minorHAnsi" w:cs="Arial"/>
          <w:color w:val="1A1A1A"/>
          <w:lang w:eastAsia="fr-FR"/>
        </w:rPr>
        <w:t xml:space="preserve">), compte tenu de la </w:t>
      </w:r>
      <w:r w:rsidR="004B1230">
        <w:rPr>
          <w:rFonts w:asciiTheme="minorHAnsi" w:hAnsiTheme="minorHAnsi" w:cs="Arial"/>
          <w:color w:val="1A1A1A"/>
          <w:lang w:eastAsia="fr-FR"/>
        </w:rPr>
        <w:t xml:space="preserve">stabilité de </w:t>
      </w:r>
      <w:r w:rsidR="001809AC">
        <w:rPr>
          <w:rFonts w:asciiTheme="minorHAnsi" w:hAnsiTheme="minorHAnsi" w:cs="Arial"/>
          <w:color w:val="1A1A1A"/>
          <w:lang w:eastAsia="fr-FR"/>
        </w:rPr>
        <w:t xml:space="preserve">ses ventes </w:t>
      </w:r>
      <w:r w:rsidR="004B1230">
        <w:rPr>
          <w:rFonts w:asciiTheme="minorHAnsi" w:hAnsiTheme="minorHAnsi" w:cs="Arial"/>
          <w:color w:val="1A1A1A"/>
          <w:lang w:eastAsia="fr-FR"/>
        </w:rPr>
        <w:t>dans un contexte où les montants de ventes des deux leaders, Christie’s et Sotheby’s, diminuent.</w:t>
      </w:r>
    </w:p>
    <w:p w:rsidR="00FD02B6" w:rsidRPr="006B0240" w:rsidRDefault="00FD02B6" w:rsidP="00FD02B6">
      <w:pPr>
        <w:widowControl w:val="0"/>
        <w:autoSpaceDE w:val="0"/>
        <w:autoSpaceDN w:val="0"/>
        <w:adjustRightInd w:val="0"/>
        <w:jc w:val="both"/>
        <w:rPr>
          <w:rFonts w:asciiTheme="minorHAnsi" w:hAnsiTheme="minorHAnsi" w:cs="Arial"/>
          <w:color w:val="1A1A1A"/>
          <w:lang w:eastAsia="fr-FR"/>
        </w:rPr>
      </w:pPr>
    </w:p>
    <w:p w:rsidR="00FD02B6" w:rsidRPr="006B0240" w:rsidRDefault="00FD02B6" w:rsidP="00FD02B6">
      <w:pPr>
        <w:widowControl w:val="0"/>
        <w:autoSpaceDE w:val="0"/>
        <w:autoSpaceDN w:val="0"/>
        <w:adjustRightInd w:val="0"/>
        <w:jc w:val="both"/>
        <w:rPr>
          <w:rFonts w:asciiTheme="minorHAnsi" w:hAnsiTheme="minorHAnsi" w:cs="Arial"/>
          <w:b/>
          <w:color w:val="1A1A1A"/>
          <w:lang w:eastAsia="fr-FR"/>
        </w:rPr>
      </w:pPr>
      <w:r w:rsidRPr="006B0240">
        <w:rPr>
          <w:rFonts w:asciiTheme="minorHAnsi" w:hAnsiTheme="minorHAnsi" w:cs="Arial"/>
          <w:b/>
          <w:color w:val="1A1A1A"/>
          <w:lang w:eastAsia="fr-FR"/>
        </w:rPr>
        <w:t xml:space="preserve">La </w:t>
      </w:r>
      <w:r w:rsidR="00027B94">
        <w:rPr>
          <w:rFonts w:asciiTheme="minorHAnsi" w:hAnsiTheme="minorHAnsi" w:cs="Arial"/>
          <w:b/>
          <w:color w:val="1A1A1A"/>
          <w:lang w:eastAsia="fr-FR"/>
        </w:rPr>
        <w:t xml:space="preserve">baisse </w:t>
      </w:r>
      <w:r w:rsidRPr="006B0240">
        <w:rPr>
          <w:rFonts w:asciiTheme="minorHAnsi" w:hAnsiTheme="minorHAnsi" w:cs="Arial"/>
          <w:b/>
          <w:color w:val="1A1A1A"/>
          <w:lang w:eastAsia="fr-FR"/>
        </w:rPr>
        <w:t xml:space="preserve">des ventes du secteur masque des évolutions contrastées selon les segments de marché : </w:t>
      </w:r>
    </w:p>
    <w:p w:rsidR="00FD02B6" w:rsidRPr="006B0240" w:rsidRDefault="00FD02B6" w:rsidP="00FD02B6">
      <w:pPr>
        <w:widowControl w:val="0"/>
        <w:autoSpaceDE w:val="0"/>
        <w:autoSpaceDN w:val="0"/>
        <w:adjustRightInd w:val="0"/>
        <w:jc w:val="both"/>
        <w:rPr>
          <w:rFonts w:asciiTheme="minorHAnsi" w:hAnsiTheme="minorHAnsi" w:cs="Arial"/>
          <w:color w:val="1A1A1A"/>
          <w:lang w:eastAsia="fr-FR"/>
        </w:rPr>
      </w:pPr>
    </w:p>
    <w:p w:rsidR="00FD02B6" w:rsidRPr="006B0240" w:rsidRDefault="00027B94" w:rsidP="00FD02B6">
      <w:pPr>
        <w:widowControl w:val="0"/>
        <w:numPr>
          <w:ilvl w:val="0"/>
          <w:numId w:val="1"/>
        </w:numPr>
        <w:autoSpaceDE w:val="0"/>
        <w:autoSpaceDN w:val="0"/>
        <w:adjustRightInd w:val="0"/>
        <w:jc w:val="both"/>
        <w:rPr>
          <w:rFonts w:asciiTheme="minorHAnsi" w:hAnsiTheme="minorHAnsi" w:cs="Arial"/>
          <w:color w:val="1A1A1A"/>
          <w:lang w:eastAsia="fr-FR"/>
        </w:rPr>
      </w:pPr>
      <w:r>
        <w:rPr>
          <w:rFonts w:asciiTheme="minorHAnsi" w:hAnsiTheme="minorHAnsi" w:cs="Arial"/>
          <w:b/>
          <w:color w:val="1A1A1A"/>
          <w:lang w:eastAsia="fr-FR"/>
        </w:rPr>
        <w:t>L</w:t>
      </w:r>
      <w:r w:rsidR="00904EB5">
        <w:rPr>
          <w:rFonts w:asciiTheme="minorHAnsi" w:hAnsiTheme="minorHAnsi" w:cs="Arial"/>
          <w:b/>
          <w:color w:val="1A1A1A"/>
          <w:lang w:eastAsia="fr-FR"/>
        </w:rPr>
        <w:t xml:space="preserve">e montant </w:t>
      </w:r>
      <w:r w:rsidR="00FD02B6" w:rsidRPr="006B0240">
        <w:rPr>
          <w:rFonts w:asciiTheme="minorHAnsi" w:hAnsiTheme="minorHAnsi" w:cs="Arial"/>
          <w:b/>
          <w:color w:val="1A1A1A"/>
          <w:lang w:eastAsia="fr-FR"/>
        </w:rPr>
        <w:t>des ventes « Autres objets de collection »</w:t>
      </w:r>
      <w:r w:rsidR="00FD02B6" w:rsidRPr="006B0240">
        <w:rPr>
          <w:rFonts w:asciiTheme="minorHAnsi" w:hAnsiTheme="minorHAnsi" w:cs="Arial"/>
          <w:color w:val="1A1A1A"/>
          <w:lang w:eastAsia="fr-FR"/>
        </w:rPr>
        <w:t xml:space="preserve"> </w:t>
      </w:r>
      <w:r>
        <w:rPr>
          <w:rFonts w:asciiTheme="minorHAnsi" w:hAnsiTheme="minorHAnsi" w:cs="Arial"/>
          <w:color w:val="1A1A1A"/>
          <w:lang w:eastAsia="fr-FR"/>
        </w:rPr>
        <w:t>progresse de 9 %, c</w:t>
      </w:r>
      <w:r w:rsidR="00904EB5">
        <w:rPr>
          <w:rFonts w:asciiTheme="minorHAnsi" w:hAnsiTheme="minorHAnsi" w:cs="Arial"/>
          <w:color w:val="1A1A1A"/>
          <w:lang w:eastAsia="fr-FR"/>
        </w:rPr>
        <w:t>eci</w:t>
      </w:r>
      <w:r>
        <w:rPr>
          <w:rFonts w:asciiTheme="minorHAnsi" w:hAnsiTheme="minorHAnsi" w:cs="Arial"/>
          <w:color w:val="1A1A1A"/>
          <w:lang w:eastAsia="fr-FR"/>
        </w:rPr>
        <w:t xml:space="preserve"> malgré la diminution du montant des v</w:t>
      </w:r>
      <w:r w:rsidR="00904EB5">
        <w:rPr>
          <w:rFonts w:asciiTheme="minorHAnsi" w:hAnsiTheme="minorHAnsi" w:cs="Arial"/>
          <w:color w:val="1A1A1A"/>
          <w:lang w:eastAsia="fr-FR"/>
        </w:rPr>
        <w:t>entes de</w:t>
      </w:r>
      <w:r w:rsidR="00FD02B6" w:rsidRPr="006B0240">
        <w:rPr>
          <w:rFonts w:asciiTheme="minorHAnsi" w:hAnsiTheme="minorHAnsi" w:cs="Arial"/>
          <w:color w:val="1A1A1A"/>
          <w:lang w:eastAsia="fr-FR"/>
        </w:rPr>
        <w:t xml:space="preserve"> voitures de collection (</w:t>
      </w:r>
      <w:r>
        <w:rPr>
          <w:rFonts w:asciiTheme="minorHAnsi" w:hAnsiTheme="minorHAnsi" w:cs="Arial"/>
          <w:color w:val="1A1A1A"/>
          <w:lang w:eastAsia="fr-FR"/>
        </w:rPr>
        <w:t xml:space="preserve">90 M€ en 2018 contre </w:t>
      </w:r>
      <w:r w:rsidR="004C6E9C">
        <w:rPr>
          <w:rFonts w:asciiTheme="minorHAnsi" w:hAnsiTheme="minorHAnsi" w:cs="Arial"/>
          <w:color w:val="1A1A1A"/>
          <w:lang w:eastAsia="fr-FR"/>
        </w:rPr>
        <w:t>112 M€ en 2017</w:t>
      </w:r>
      <w:r>
        <w:rPr>
          <w:rFonts w:asciiTheme="minorHAnsi" w:hAnsiTheme="minorHAnsi" w:cs="Arial"/>
          <w:color w:val="1A1A1A"/>
          <w:lang w:eastAsia="fr-FR"/>
        </w:rPr>
        <w:t xml:space="preserve">). La progression des ventes </w:t>
      </w:r>
      <w:r w:rsidR="004C6E9C">
        <w:rPr>
          <w:rFonts w:asciiTheme="minorHAnsi" w:hAnsiTheme="minorHAnsi" w:cs="Arial"/>
          <w:color w:val="1A1A1A"/>
          <w:lang w:eastAsia="fr-FR"/>
        </w:rPr>
        <w:t>de livres et manuscrits</w:t>
      </w:r>
      <w:r>
        <w:rPr>
          <w:rFonts w:asciiTheme="minorHAnsi" w:hAnsiTheme="minorHAnsi" w:cs="Arial"/>
          <w:color w:val="1A1A1A"/>
          <w:lang w:eastAsia="fr-FR"/>
        </w:rPr>
        <w:t xml:space="preserve"> ainsi que la bonne tenue des autres composantes de cette rubrique très diversifiée (instruments de musique, numismatique, vintage, photographies, timbres, armes, autres collections…) expliquent cette progression </w:t>
      </w:r>
      <w:r w:rsidR="00904EB5">
        <w:rPr>
          <w:rFonts w:asciiTheme="minorHAnsi" w:hAnsiTheme="minorHAnsi" w:cs="Arial"/>
          <w:color w:val="1A1A1A"/>
          <w:lang w:eastAsia="fr-FR"/>
        </w:rPr>
        <w:t>;</w:t>
      </w:r>
    </w:p>
    <w:p w:rsidR="00FD02B6" w:rsidRDefault="00027B94" w:rsidP="00FD02B6">
      <w:pPr>
        <w:widowControl w:val="0"/>
        <w:numPr>
          <w:ilvl w:val="0"/>
          <w:numId w:val="1"/>
        </w:numPr>
        <w:autoSpaceDE w:val="0"/>
        <w:autoSpaceDN w:val="0"/>
        <w:adjustRightInd w:val="0"/>
        <w:jc w:val="both"/>
        <w:rPr>
          <w:rFonts w:asciiTheme="minorHAnsi" w:hAnsiTheme="minorHAnsi" w:cs="Arial"/>
          <w:color w:val="1A1A1A"/>
          <w:lang w:eastAsia="fr-FR"/>
        </w:rPr>
      </w:pPr>
      <w:r>
        <w:rPr>
          <w:rFonts w:asciiTheme="minorHAnsi" w:hAnsiTheme="minorHAnsi" w:cs="Arial"/>
          <w:b/>
          <w:color w:val="1A1A1A"/>
          <w:lang w:eastAsia="fr-FR"/>
        </w:rPr>
        <w:t xml:space="preserve">Baisse </w:t>
      </w:r>
      <w:r w:rsidR="00FD02B6" w:rsidRPr="006B0240">
        <w:rPr>
          <w:rFonts w:asciiTheme="minorHAnsi" w:hAnsiTheme="minorHAnsi" w:cs="Arial"/>
          <w:b/>
          <w:color w:val="1A1A1A"/>
          <w:lang w:eastAsia="fr-FR"/>
        </w:rPr>
        <w:t>des ventes de joaillerie et orfèvrerie</w:t>
      </w:r>
      <w:r w:rsidR="00FD02B6" w:rsidRPr="006B0240">
        <w:rPr>
          <w:rFonts w:asciiTheme="minorHAnsi" w:hAnsiTheme="minorHAnsi" w:cs="Arial"/>
          <w:color w:val="1A1A1A"/>
          <w:lang w:eastAsia="fr-FR"/>
        </w:rPr>
        <w:t xml:space="preserve"> (</w:t>
      </w:r>
      <w:r>
        <w:rPr>
          <w:rFonts w:asciiTheme="minorHAnsi" w:hAnsiTheme="minorHAnsi" w:cs="Arial"/>
          <w:color w:val="1A1A1A"/>
          <w:lang w:eastAsia="fr-FR"/>
        </w:rPr>
        <w:t>- 7 %</w:t>
      </w:r>
      <w:r w:rsidR="004368CD">
        <w:rPr>
          <w:rFonts w:asciiTheme="minorHAnsi" w:hAnsiTheme="minorHAnsi" w:cs="Arial"/>
          <w:color w:val="1A1A1A"/>
          <w:lang w:eastAsia="fr-FR"/>
        </w:rPr>
        <w:t>)</w:t>
      </w:r>
      <w:r w:rsidR="00FD02B6" w:rsidRPr="006B0240">
        <w:rPr>
          <w:rFonts w:asciiTheme="minorHAnsi" w:hAnsiTheme="minorHAnsi" w:cs="Arial"/>
          <w:color w:val="1A1A1A"/>
          <w:lang w:eastAsia="fr-FR"/>
        </w:rPr>
        <w:t> ;</w:t>
      </w:r>
    </w:p>
    <w:p w:rsidR="00027B94" w:rsidRPr="006B0240" w:rsidRDefault="00027B94" w:rsidP="00FD02B6">
      <w:pPr>
        <w:widowControl w:val="0"/>
        <w:numPr>
          <w:ilvl w:val="0"/>
          <w:numId w:val="1"/>
        </w:numPr>
        <w:autoSpaceDE w:val="0"/>
        <w:autoSpaceDN w:val="0"/>
        <w:adjustRightInd w:val="0"/>
        <w:jc w:val="both"/>
        <w:rPr>
          <w:rFonts w:asciiTheme="minorHAnsi" w:hAnsiTheme="minorHAnsi" w:cs="Arial"/>
          <w:color w:val="1A1A1A"/>
          <w:lang w:eastAsia="fr-FR"/>
        </w:rPr>
      </w:pPr>
      <w:r>
        <w:rPr>
          <w:rFonts w:asciiTheme="minorHAnsi" w:hAnsiTheme="minorHAnsi" w:cs="Arial"/>
          <w:b/>
          <w:color w:val="1A1A1A"/>
          <w:lang w:eastAsia="fr-FR"/>
        </w:rPr>
        <w:t xml:space="preserve">Augmentation de ventes de vins </w:t>
      </w:r>
      <w:r w:rsidR="0011731B">
        <w:rPr>
          <w:rFonts w:asciiTheme="minorHAnsi" w:hAnsiTheme="minorHAnsi" w:cs="Arial"/>
          <w:b/>
          <w:color w:val="1A1A1A"/>
          <w:lang w:eastAsia="fr-FR"/>
        </w:rPr>
        <w:t xml:space="preserve"> (+ 18 %) ; </w:t>
      </w:r>
    </w:p>
    <w:p w:rsidR="00FD02B6" w:rsidRPr="006B0240" w:rsidRDefault="0011731B" w:rsidP="00FD02B6">
      <w:pPr>
        <w:widowControl w:val="0"/>
        <w:numPr>
          <w:ilvl w:val="0"/>
          <w:numId w:val="1"/>
        </w:numPr>
        <w:autoSpaceDE w:val="0"/>
        <w:autoSpaceDN w:val="0"/>
        <w:adjustRightInd w:val="0"/>
        <w:jc w:val="both"/>
        <w:rPr>
          <w:rFonts w:asciiTheme="minorHAnsi" w:hAnsiTheme="minorHAnsi" w:cs="Arial"/>
          <w:color w:val="1A1A1A"/>
          <w:lang w:eastAsia="fr-FR"/>
        </w:rPr>
      </w:pPr>
      <w:r>
        <w:rPr>
          <w:rFonts w:asciiTheme="minorHAnsi" w:hAnsiTheme="minorHAnsi" w:cs="Arial"/>
          <w:b/>
          <w:color w:val="1A1A1A"/>
          <w:lang w:eastAsia="fr-FR"/>
        </w:rPr>
        <w:t>Ba</w:t>
      </w:r>
      <w:r w:rsidR="00080FBC">
        <w:rPr>
          <w:rFonts w:asciiTheme="minorHAnsi" w:hAnsiTheme="minorHAnsi" w:cs="Arial"/>
          <w:b/>
          <w:color w:val="1A1A1A"/>
          <w:lang w:eastAsia="fr-FR"/>
        </w:rPr>
        <w:t>i</w:t>
      </w:r>
      <w:r>
        <w:rPr>
          <w:rFonts w:asciiTheme="minorHAnsi" w:hAnsiTheme="minorHAnsi" w:cs="Arial"/>
          <w:b/>
          <w:color w:val="1A1A1A"/>
          <w:lang w:eastAsia="fr-FR"/>
        </w:rPr>
        <w:t xml:space="preserve">sse </w:t>
      </w:r>
      <w:r w:rsidR="00FD02B6" w:rsidRPr="006B0240">
        <w:rPr>
          <w:rFonts w:asciiTheme="minorHAnsi" w:hAnsiTheme="minorHAnsi" w:cs="Arial"/>
          <w:b/>
          <w:color w:val="1A1A1A"/>
          <w:lang w:eastAsia="fr-FR"/>
        </w:rPr>
        <w:t>des ventes « Art et antiquités »</w:t>
      </w:r>
      <w:r w:rsidR="00FD02B6" w:rsidRPr="006B0240">
        <w:rPr>
          <w:rFonts w:asciiTheme="minorHAnsi" w:hAnsiTheme="minorHAnsi" w:cs="Arial"/>
          <w:color w:val="1A1A1A"/>
          <w:lang w:eastAsia="fr-FR"/>
        </w:rPr>
        <w:t xml:space="preserve"> (</w:t>
      </w:r>
      <w:r>
        <w:rPr>
          <w:rFonts w:asciiTheme="minorHAnsi" w:hAnsiTheme="minorHAnsi" w:cs="Arial"/>
          <w:color w:val="1A1A1A"/>
          <w:lang w:eastAsia="fr-FR"/>
        </w:rPr>
        <w:t>875</w:t>
      </w:r>
      <w:r w:rsidR="00FD02B6" w:rsidRPr="006B0240">
        <w:rPr>
          <w:rFonts w:asciiTheme="minorHAnsi" w:hAnsiTheme="minorHAnsi" w:cs="Arial"/>
          <w:color w:val="1A1A1A"/>
          <w:lang w:eastAsia="fr-FR"/>
        </w:rPr>
        <w:t xml:space="preserve"> M€</w:t>
      </w:r>
      <w:r w:rsidR="00A94FFB">
        <w:rPr>
          <w:rFonts w:asciiTheme="minorHAnsi" w:hAnsiTheme="minorHAnsi" w:cs="Arial"/>
          <w:color w:val="1A1A1A"/>
          <w:lang w:eastAsia="fr-FR"/>
        </w:rPr>
        <w:t xml:space="preserve">, </w:t>
      </w:r>
      <w:r>
        <w:rPr>
          <w:rFonts w:asciiTheme="minorHAnsi" w:hAnsiTheme="minorHAnsi" w:cs="Arial"/>
          <w:color w:val="1A1A1A"/>
          <w:lang w:eastAsia="fr-FR"/>
        </w:rPr>
        <w:t>- 4,1</w:t>
      </w:r>
      <w:r w:rsidR="004368CD">
        <w:rPr>
          <w:rFonts w:asciiTheme="minorHAnsi" w:hAnsiTheme="minorHAnsi" w:cs="Arial"/>
          <w:color w:val="1A1A1A"/>
          <w:lang w:eastAsia="fr-FR"/>
        </w:rPr>
        <w:t xml:space="preserve"> %</w:t>
      </w:r>
      <w:r w:rsidR="00FD02B6" w:rsidRPr="006B0240">
        <w:rPr>
          <w:rFonts w:asciiTheme="minorHAnsi" w:hAnsiTheme="minorHAnsi" w:cs="Arial"/>
          <w:color w:val="1A1A1A"/>
          <w:lang w:eastAsia="fr-FR"/>
        </w:rPr>
        <w:t>)</w:t>
      </w:r>
      <w:r w:rsidR="00A94FFB">
        <w:rPr>
          <w:rFonts w:asciiTheme="minorHAnsi" w:hAnsiTheme="minorHAnsi" w:cs="Arial"/>
          <w:color w:val="1A1A1A"/>
          <w:lang w:eastAsia="fr-FR"/>
        </w:rPr>
        <w:t xml:space="preserve"> qui</w:t>
      </w:r>
      <w:r w:rsidR="00FD02B6" w:rsidRPr="006B0240">
        <w:rPr>
          <w:rFonts w:asciiTheme="minorHAnsi" w:hAnsiTheme="minorHAnsi" w:cs="Arial"/>
          <w:color w:val="1A1A1A"/>
          <w:lang w:eastAsia="fr-FR"/>
        </w:rPr>
        <w:t xml:space="preserve"> recouvre plusieurs tendances : </w:t>
      </w:r>
    </w:p>
    <w:p w:rsidR="00080FBC" w:rsidRDefault="003D0E51" w:rsidP="006B0240">
      <w:pPr>
        <w:widowControl w:val="0"/>
        <w:autoSpaceDE w:val="0"/>
        <w:autoSpaceDN w:val="0"/>
        <w:adjustRightInd w:val="0"/>
        <w:ind w:left="708"/>
        <w:jc w:val="both"/>
        <w:rPr>
          <w:rFonts w:asciiTheme="minorHAnsi" w:hAnsiTheme="minorHAnsi" w:cs="Arial"/>
          <w:color w:val="1A1A1A"/>
          <w:lang w:eastAsia="fr-FR"/>
        </w:rPr>
      </w:pPr>
      <w:r>
        <w:rPr>
          <w:rFonts w:asciiTheme="minorHAnsi" w:hAnsiTheme="minorHAnsi" w:cs="Arial"/>
          <w:color w:val="1A1A1A"/>
          <w:lang w:eastAsia="fr-FR"/>
        </w:rPr>
        <w:t xml:space="preserve">Une </w:t>
      </w:r>
      <w:r w:rsidR="0011731B">
        <w:rPr>
          <w:rFonts w:asciiTheme="minorHAnsi" w:hAnsiTheme="minorHAnsi" w:cs="Arial"/>
          <w:color w:val="1A1A1A"/>
          <w:lang w:eastAsia="fr-FR"/>
        </w:rPr>
        <w:t xml:space="preserve">légère érosion </w:t>
      </w:r>
      <w:r w:rsidR="00FD02B6" w:rsidRPr="006B0240">
        <w:rPr>
          <w:rFonts w:asciiTheme="minorHAnsi" w:hAnsiTheme="minorHAnsi" w:cs="Arial"/>
          <w:color w:val="1A1A1A"/>
          <w:lang w:eastAsia="fr-FR"/>
        </w:rPr>
        <w:t>des ventes « art d’après-guerre et art contemporain »</w:t>
      </w:r>
      <w:r w:rsidR="0011731B">
        <w:rPr>
          <w:rFonts w:asciiTheme="minorHAnsi" w:hAnsiTheme="minorHAnsi" w:cs="Arial"/>
          <w:color w:val="1A1A1A"/>
          <w:lang w:eastAsia="fr-FR"/>
        </w:rPr>
        <w:t xml:space="preserve"> (- 3 %)</w:t>
      </w:r>
      <w:r w:rsidR="00080FBC">
        <w:rPr>
          <w:rFonts w:asciiTheme="minorHAnsi" w:hAnsiTheme="minorHAnsi" w:cs="Arial"/>
          <w:color w:val="1A1A1A"/>
          <w:lang w:eastAsia="fr-FR"/>
        </w:rPr>
        <w:t xml:space="preserve"> et </w:t>
      </w:r>
      <w:r w:rsidR="00080FBC">
        <w:rPr>
          <w:rFonts w:asciiTheme="minorHAnsi" w:hAnsiTheme="minorHAnsi" w:cs="Arial"/>
          <w:color w:val="1A1A1A"/>
          <w:lang w:eastAsia="fr-FR"/>
        </w:rPr>
        <w:lastRenderedPageBreak/>
        <w:t xml:space="preserve">en </w:t>
      </w:r>
      <w:r w:rsidR="00080FBC" w:rsidRPr="00080FBC">
        <w:rPr>
          <w:rFonts w:asciiTheme="minorHAnsi" w:hAnsiTheme="minorHAnsi" w:cs="Arial"/>
          <w:color w:val="1A1A1A"/>
          <w:lang w:eastAsia="fr-FR"/>
        </w:rPr>
        <w:t>« mobilier et objets d’art anciens »</w:t>
      </w:r>
      <w:r w:rsidR="00080FBC">
        <w:rPr>
          <w:rFonts w:asciiTheme="minorHAnsi" w:hAnsiTheme="minorHAnsi" w:cs="Arial"/>
          <w:color w:val="1A1A1A"/>
          <w:lang w:eastAsia="fr-FR"/>
        </w:rPr>
        <w:t xml:space="preserve"> (- 4 %)</w:t>
      </w:r>
      <w:r w:rsidR="0011731B">
        <w:rPr>
          <w:rFonts w:asciiTheme="minorHAnsi" w:hAnsiTheme="minorHAnsi" w:cs="Arial"/>
          <w:color w:val="1A1A1A"/>
          <w:lang w:eastAsia="fr-FR"/>
        </w:rPr>
        <w:t> ; une baisse plus sensible des ventes de</w:t>
      </w:r>
      <w:r w:rsidR="00F84662">
        <w:rPr>
          <w:rFonts w:asciiTheme="minorHAnsi" w:hAnsiTheme="minorHAnsi" w:cs="Arial"/>
          <w:color w:val="1A1A1A"/>
          <w:lang w:eastAsia="fr-FR"/>
        </w:rPr>
        <w:t xml:space="preserve"> </w:t>
      </w:r>
      <w:r w:rsidR="00A94FFB">
        <w:rPr>
          <w:rFonts w:asciiTheme="minorHAnsi" w:hAnsiTheme="minorHAnsi" w:cs="Arial"/>
          <w:color w:val="1A1A1A"/>
          <w:lang w:eastAsia="fr-FR"/>
        </w:rPr>
        <w:t xml:space="preserve">« mobilier et objets d’art du </w:t>
      </w:r>
      <w:r w:rsidR="00BA2C0E">
        <w:rPr>
          <w:rFonts w:asciiTheme="minorHAnsi" w:hAnsiTheme="minorHAnsi" w:cs="Arial"/>
          <w:color w:val="1A1A1A"/>
          <w:lang w:eastAsia="fr-FR"/>
        </w:rPr>
        <w:t>XXème</w:t>
      </w:r>
      <w:r w:rsidR="00A94FFB">
        <w:rPr>
          <w:rFonts w:asciiTheme="minorHAnsi" w:hAnsiTheme="minorHAnsi" w:cs="Arial"/>
          <w:color w:val="1A1A1A"/>
          <w:lang w:eastAsia="fr-FR"/>
        </w:rPr>
        <w:t xml:space="preserve"> siècle » </w:t>
      </w:r>
      <w:r w:rsidR="00080FBC">
        <w:rPr>
          <w:rFonts w:asciiTheme="minorHAnsi" w:hAnsiTheme="minorHAnsi" w:cs="Arial"/>
          <w:color w:val="1A1A1A"/>
          <w:lang w:eastAsia="fr-FR"/>
        </w:rPr>
        <w:t xml:space="preserve"> </w:t>
      </w:r>
      <w:r w:rsidR="00A94FFB">
        <w:rPr>
          <w:rFonts w:asciiTheme="minorHAnsi" w:hAnsiTheme="minorHAnsi" w:cs="Arial"/>
          <w:color w:val="1A1A1A"/>
          <w:lang w:eastAsia="fr-FR"/>
        </w:rPr>
        <w:t>(</w:t>
      </w:r>
      <w:r w:rsidR="0011731B">
        <w:rPr>
          <w:rFonts w:asciiTheme="minorHAnsi" w:hAnsiTheme="minorHAnsi" w:cs="Arial"/>
          <w:color w:val="1A1A1A"/>
          <w:lang w:eastAsia="fr-FR"/>
        </w:rPr>
        <w:t>- 37</w:t>
      </w:r>
      <w:r w:rsidR="00A94FFB">
        <w:rPr>
          <w:rFonts w:asciiTheme="minorHAnsi" w:hAnsiTheme="minorHAnsi" w:cs="Arial"/>
          <w:color w:val="1A1A1A"/>
          <w:lang w:eastAsia="fr-FR"/>
        </w:rPr>
        <w:t xml:space="preserve"> %)</w:t>
      </w:r>
      <w:r w:rsidR="00080FBC">
        <w:rPr>
          <w:rFonts w:asciiTheme="minorHAnsi" w:hAnsiTheme="minorHAnsi" w:cs="Arial"/>
          <w:color w:val="1A1A1A"/>
          <w:lang w:eastAsia="fr-FR"/>
        </w:rPr>
        <w:t xml:space="preserve">, </w:t>
      </w:r>
      <w:r w:rsidR="0011731B">
        <w:rPr>
          <w:rFonts w:asciiTheme="minorHAnsi" w:hAnsiTheme="minorHAnsi" w:cs="Arial"/>
          <w:color w:val="1A1A1A"/>
          <w:lang w:eastAsia="fr-FR"/>
        </w:rPr>
        <w:t>de</w:t>
      </w:r>
      <w:r w:rsidR="00080FBC">
        <w:rPr>
          <w:rFonts w:asciiTheme="minorHAnsi" w:hAnsiTheme="minorHAnsi" w:cs="Arial"/>
          <w:color w:val="1A1A1A"/>
          <w:lang w:eastAsia="fr-FR"/>
        </w:rPr>
        <w:t>s</w:t>
      </w:r>
      <w:r w:rsidR="0011731B">
        <w:rPr>
          <w:rFonts w:asciiTheme="minorHAnsi" w:hAnsiTheme="minorHAnsi" w:cs="Arial"/>
          <w:color w:val="1A1A1A"/>
          <w:lang w:eastAsia="fr-FR"/>
        </w:rPr>
        <w:t xml:space="preserve"> « tableaux anciens, </w:t>
      </w:r>
      <w:proofErr w:type="gramStart"/>
      <w:r w:rsidR="0011731B">
        <w:rPr>
          <w:rFonts w:asciiTheme="minorHAnsi" w:hAnsiTheme="minorHAnsi" w:cs="Arial"/>
          <w:color w:val="1A1A1A"/>
          <w:lang w:eastAsia="fr-FR"/>
        </w:rPr>
        <w:t>dessins ,</w:t>
      </w:r>
      <w:proofErr w:type="gramEnd"/>
      <w:r w:rsidR="0011731B">
        <w:rPr>
          <w:rFonts w:asciiTheme="minorHAnsi" w:hAnsiTheme="minorHAnsi" w:cs="Arial"/>
          <w:color w:val="1A1A1A"/>
          <w:lang w:eastAsia="fr-FR"/>
        </w:rPr>
        <w:t xml:space="preserve"> sculptures</w:t>
      </w:r>
      <w:r w:rsidR="00C76EC9">
        <w:rPr>
          <w:rFonts w:asciiTheme="minorHAnsi" w:hAnsiTheme="minorHAnsi" w:cs="Arial"/>
          <w:color w:val="1A1A1A"/>
          <w:lang w:eastAsia="fr-FR"/>
        </w:rPr>
        <w:t>,</w:t>
      </w:r>
      <w:r w:rsidR="0011731B">
        <w:rPr>
          <w:rFonts w:asciiTheme="minorHAnsi" w:hAnsiTheme="minorHAnsi" w:cs="Arial"/>
          <w:color w:val="1A1A1A"/>
          <w:lang w:eastAsia="fr-FR"/>
        </w:rPr>
        <w:t xml:space="preserve"> </w:t>
      </w:r>
      <w:r w:rsidR="00080FBC">
        <w:rPr>
          <w:rFonts w:asciiTheme="minorHAnsi" w:hAnsiTheme="minorHAnsi" w:cs="Arial"/>
          <w:color w:val="1A1A1A"/>
          <w:lang w:eastAsia="fr-FR"/>
        </w:rPr>
        <w:t>estampes anciens du XIXème siècle</w:t>
      </w:r>
      <w:r w:rsidR="00C76EC9">
        <w:rPr>
          <w:rFonts w:asciiTheme="minorHAnsi" w:hAnsiTheme="minorHAnsi" w:cs="Arial"/>
          <w:color w:val="1A1A1A"/>
          <w:lang w:eastAsia="fr-FR"/>
        </w:rPr>
        <w:t> »</w:t>
      </w:r>
      <w:r w:rsidR="00080FBC">
        <w:rPr>
          <w:rFonts w:asciiTheme="minorHAnsi" w:hAnsiTheme="minorHAnsi" w:cs="Arial"/>
          <w:color w:val="1A1A1A"/>
          <w:lang w:eastAsia="fr-FR"/>
        </w:rPr>
        <w:t xml:space="preserve"> (- 12 %) et des tableaux impressionnistes et modernes (- 9 %). U</w:t>
      </w:r>
      <w:r w:rsidR="00A94FFB">
        <w:rPr>
          <w:rFonts w:asciiTheme="minorHAnsi" w:hAnsiTheme="minorHAnsi" w:cs="Arial"/>
          <w:color w:val="1A1A1A"/>
          <w:lang w:eastAsia="fr-FR"/>
        </w:rPr>
        <w:t xml:space="preserve">ne progression soutenue (+ 22 %) des ventes </w:t>
      </w:r>
      <w:r w:rsidR="00F84662">
        <w:rPr>
          <w:rFonts w:asciiTheme="minorHAnsi" w:hAnsiTheme="minorHAnsi" w:cs="Arial"/>
          <w:color w:val="1A1A1A"/>
          <w:lang w:eastAsia="fr-FR"/>
        </w:rPr>
        <w:t>« arts d’Asie, Arts P</w:t>
      </w:r>
      <w:r w:rsidR="00FD02B6" w:rsidRPr="006B0240">
        <w:rPr>
          <w:rFonts w:asciiTheme="minorHAnsi" w:hAnsiTheme="minorHAnsi" w:cs="Arial"/>
          <w:color w:val="1A1A1A"/>
          <w:lang w:eastAsia="fr-FR"/>
        </w:rPr>
        <w:t>remiers, archéologie » liée</w:t>
      </w:r>
      <w:r w:rsidR="004368CD">
        <w:rPr>
          <w:rFonts w:asciiTheme="minorHAnsi" w:hAnsiTheme="minorHAnsi" w:cs="Arial"/>
          <w:color w:val="1A1A1A"/>
          <w:lang w:eastAsia="fr-FR"/>
        </w:rPr>
        <w:t xml:space="preserve">, </w:t>
      </w:r>
      <w:r w:rsidR="00A8470A">
        <w:rPr>
          <w:rFonts w:asciiTheme="minorHAnsi" w:hAnsiTheme="minorHAnsi" w:cs="Arial"/>
          <w:color w:val="1A1A1A"/>
          <w:lang w:eastAsia="fr-FR"/>
        </w:rPr>
        <w:t xml:space="preserve">essentiellement </w:t>
      </w:r>
      <w:r w:rsidR="00E25046">
        <w:rPr>
          <w:rFonts w:asciiTheme="minorHAnsi" w:hAnsiTheme="minorHAnsi" w:cs="Arial"/>
          <w:color w:val="1A1A1A"/>
          <w:lang w:eastAsia="fr-FR"/>
        </w:rPr>
        <w:t xml:space="preserve">à </w:t>
      </w:r>
      <w:r w:rsidR="00080FBC">
        <w:rPr>
          <w:rFonts w:asciiTheme="minorHAnsi" w:hAnsiTheme="minorHAnsi" w:cs="Arial"/>
          <w:color w:val="1A1A1A"/>
          <w:lang w:eastAsia="fr-FR"/>
        </w:rPr>
        <w:t xml:space="preserve">quelques belles adjudications en </w:t>
      </w:r>
      <w:r w:rsidR="00C76EC9">
        <w:rPr>
          <w:rFonts w:asciiTheme="minorHAnsi" w:hAnsiTheme="minorHAnsi" w:cs="Arial"/>
          <w:color w:val="1A1A1A"/>
          <w:lang w:eastAsia="fr-FR"/>
        </w:rPr>
        <w:t>a</w:t>
      </w:r>
      <w:r w:rsidR="004368CD">
        <w:rPr>
          <w:rFonts w:asciiTheme="minorHAnsi" w:hAnsiTheme="minorHAnsi" w:cs="Arial"/>
          <w:color w:val="1A1A1A"/>
          <w:lang w:eastAsia="fr-FR"/>
        </w:rPr>
        <w:t>rt d’Asie</w:t>
      </w:r>
      <w:r w:rsidR="00080FBC">
        <w:rPr>
          <w:rFonts w:asciiTheme="minorHAnsi" w:hAnsiTheme="minorHAnsi" w:cs="Arial"/>
          <w:color w:val="1A1A1A"/>
          <w:lang w:eastAsia="fr-FR"/>
        </w:rPr>
        <w:t xml:space="preserve"> et la dispersion de belles collections en « Arts Premiers ».</w:t>
      </w:r>
    </w:p>
    <w:p w:rsidR="00FD02B6" w:rsidRPr="006B0240" w:rsidRDefault="00A8470A" w:rsidP="006B0240">
      <w:pPr>
        <w:widowControl w:val="0"/>
        <w:autoSpaceDE w:val="0"/>
        <w:autoSpaceDN w:val="0"/>
        <w:adjustRightInd w:val="0"/>
        <w:ind w:left="708"/>
        <w:jc w:val="both"/>
        <w:rPr>
          <w:rFonts w:asciiTheme="minorHAnsi" w:hAnsiTheme="minorHAnsi" w:cs="Arial"/>
          <w:color w:val="1A1A1A"/>
          <w:lang w:eastAsia="fr-FR"/>
        </w:rPr>
      </w:pPr>
      <w:r>
        <w:rPr>
          <w:rFonts w:asciiTheme="minorHAnsi" w:hAnsiTheme="minorHAnsi" w:cs="Arial"/>
          <w:color w:val="1A1A1A"/>
          <w:lang w:eastAsia="fr-FR"/>
        </w:rPr>
        <w:t xml:space="preserve"> </w:t>
      </w:r>
    </w:p>
    <w:p w:rsidR="00FD02B6" w:rsidRPr="006B0240" w:rsidRDefault="00C76EC9" w:rsidP="006B0240">
      <w:pPr>
        <w:pStyle w:val="Paragraphedeliste"/>
        <w:numPr>
          <w:ilvl w:val="0"/>
          <w:numId w:val="1"/>
        </w:numPr>
      </w:pPr>
      <w:r>
        <w:rPr>
          <w:rFonts w:asciiTheme="minorHAnsi" w:hAnsiTheme="minorHAnsi" w:cs="Arial"/>
          <w:b/>
          <w:color w:val="1A1A1A"/>
          <w:lang w:eastAsia="fr-FR"/>
        </w:rPr>
        <w:t xml:space="preserve">Baisse des </w:t>
      </w:r>
      <w:r w:rsidR="00FD02B6" w:rsidRPr="006B0240">
        <w:rPr>
          <w:rFonts w:asciiTheme="minorHAnsi" w:hAnsiTheme="minorHAnsi" w:cs="Arial"/>
          <w:b/>
          <w:color w:val="1A1A1A"/>
          <w:lang w:eastAsia="fr-FR"/>
        </w:rPr>
        <w:t xml:space="preserve"> ventes courantes</w:t>
      </w:r>
      <w:r w:rsidR="00FD02B6" w:rsidRPr="006B0240">
        <w:rPr>
          <w:rFonts w:asciiTheme="minorHAnsi" w:hAnsiTheme="minorHAnsi" w:cs="Arial"/>
          <w:color w:val="1A1A1A"/>
          <w:lang w:eastAsia="fr-FR"/>
        </w:rPr>
        <w:t xml:space="preserve"> (</w:t>
      </w:r>
      <w:r>
        <w:rPr>
          <w:rFonts w:asciiTheme="minorHAnsi" w:hAnsiTheme="minorHAnsi" w:cs="Arial"/>
          <w:color w:val="1A1A1A"/>
          <w:lang w:eastAsia="fr-FR"/>
        </w:rPr>
        <w:t>- 17 %)</w:t>
      </w:r>
      <w:r w:rsidR="00A94FFB">
        <w:rPr>
          <w:rFonts w:asciiTheme="minorHAnsi" w:hAnsiTheme="minorHAnsi" w:cs="Arial"/>
          <w:color w:val="1A1A1A"/>
          <w:lang w:eastAsia="fr-FR"/>
        </w:rPr>
        <w:t>.</w:t>
      </w:r>
      <w:r w:rsidR="00FD02B6" w:rsidRPr="006B0240">
        <w:rPr>
          <w:rFonts w:asciiTheme="minorHAnsi" w:hAnsiTheme="minorHAnsi" w:cs="Arial"/>
          <w:color w:val="1A1A1A"/>
          <w:lang w:eastAsia="fr-FR"/>
        </w:rPr>
        <w:t xml:space="preserve"> </w:t>
      </w:r>
    </w:p>
    <w:p w:rsidR="00FD02B6" w:rsidRPr="006B0240" w:rsidRDefault="00FD02B6" w:rsidP="00B01136">
      <w:pPr>
        <w:jc w:val="both"/>
        <w:rPr>
          <w:rFonts w:asciiTheme="minorHAnsi" w:hAnsiTheme="minorHAnsi" w:cs="Arial"/>
        </w:rPr>
      </w:pPr>
    </w:p>
    <w:p w:rsidR="00B01136" w:rsidRPr="006B0240" w:rsidRDefault="00B01136" w:rsidP="00B01136">
      <w:pPr>
        <w:jc w:val="both"/>
        <w:rPr>
          <w:rFonts w:asciiTheme="minorHAnsi" w:hAnsiTheme="minorHAnsi" w:cs="Arial"/>
          <w:b/>
          <w:color w:val="1F497D"/>
        </w:rPr>
      </w:pPr>
      <w:r w:rsidRPr="006B0240">
        <w:rPr>
          <w:rFonts w:asciiTheme="minorHAnsi" w:hAnsiTheme="minorHAnsi" w:cs="Arial"/>
          <w:b/>
          <w:color w:val="1F497D"/>
        </w:rPr>
        <w:t xml:space="preserve">Le secteur «Véhicules d’occasion et matériel industriel » : une </w:t>
      </w:r>
      <w:r w:rsidR="00F46A80">
        <w:rPr>
          <w:rFonts w:asciiTheme="minorHAnsi" w:hAnsiTheme="minorHAnsi" w:cs="Arial"/>
          <w:b/>
          <w:color w:val="1F497D"/>
        </w:rPr>
        <w:t xml:space="preserve">légère érosion </w:t>
      </w:r>
      <w:r w:rsidRPr="006B0240">
        <w:rPr>
          <w:rFonts w:asciiTheme="minorHAnsi" w:hAnsiTheme="minorHAnsi" w:cs="Arial"/>
          <w:b/>
          <w:color w:val="1F497D"/>
        </w:rPr>
        <w:t>en 201</w:t>
      </w:r>
      <w:r w:rsidR="00267E9A">
        <w:rPr>
          <w:rFonts w:asciiTheme="minorHAnsi" w:hAnsiTheme="minorHAnsi" w:cs="Arial"/>
          <w:b/>
          <w:color w:val="1F497D"/>
        </w:rPr>
        <w:t>7</w:t>
      </w:r>
      <w:r w:rsidRPr="006B0240">
        <w:rPr>
          <w:rFonts w:asciiTheme="minorHAnsi" w:hAnsiTheme="minorHAnsi" w:cs="Arial"/>
          <w:b/>
          <w:color w:val="1F497D"/>
        </w:rPr>
        <w:t xml:space="preserve"> </w:t>
      </w:r>
      <w:r w:rsidR="00E25046">
        <w:rPr>
          <w:rFonts w:asciiTheme="minorHAnsi" w:hAnsiTheme="minorHAnsi" w:cs="Arial"/>
          <w:b/>
          <w:color w:val="1F497D"/>
        </w:rPr>
        <w:t xml:space="preserve">            </w:t>
      </w:r>
      <w:r w:rsidR="007738E4">
        <w:rPr>
          <w:rFonts w:asciiTheme="minorHAnsi" w:hAnsiTheme="minorHAnsi" w:cs="Arial"/>
          <w:b/>
          <w:color w:val="1F497D"/>
        </w:rPr>
        <w:t>(</w:t>
      </w:r>
      <w:r w:rsidR="00F46A80">
        <w:rPr>
          <w:rFonts w:asciiTheme="minorHAnsi" w:hAnsiTheme="minorHAnsi" w:cs="Arial"/>
          <w:b/>
          <w:color w:val="1F497D"/>
        </w:rPr>
        <w:t>- 1,7</w:t>
      </w:r>
      <w:r w:rsidR="007738E4">
        <w:rPr>
          <w:rFonts w:asciiTheme="minorHAnsi" w:hAnsiTheme="minorHAnsi" w:cs="Arial"/>
          <w:b/>
          <w:color w:val="1F497D"/>
        </w:rPr>
        <w:t xml:space="preserve"> %)</w:t>
      </w:r>
      <w:r w:rsidR="00F46A80">
        <w:rPr>
          <w:rFonts w:asciiTheme="minorHAnsi" w:hAnsiTheme="minorHAnsi" w:cs="Arial"/>
          <w:b/>
          <w:color w:val="1F497D"/>
        </w:rPr>
        <w:t>.</w:t>
      </w:r>
    </w:p>
    <w:p w:rsidR="00B01136" w:rsidRPr="006B0240" w:rsidRDefault="00B01136" w:rsidP="00B01136">
      <w:pPr>
        <w:jc w:val="both"/>
        <w:rPr>
          <w:rFonts w:asciiTheme="minorHAnsi" w:hAnsiTheme="minorHAnsi" w:cs="Arial"/>
        </w:rPr>
      </w:pPr>
    </w:p>
    <w:p w:rsidR="00B01136" w:rsidRPr="006B0240" w:rsidRDefault="00B01136" w:rsidP="00B01136">
      <w:pPr>
        <w:jc w:val="both"/>
        <w:rPr>
          <w:rFonts w:asciiTheme="minorHAnsi" w:hAnsiTheme="minorHAnsi" w:cs="Arial"/>
        </w:rPr>
      </w:pPr>
      <w:r w:rsidRPr="006B0240">
        <w:rPr>
          <w:rFonts w:asciiTheme="minorHAnsi" w:hAnsiTheme="minorHAnsi" w:cs="Arial"/>
        </w:rPr>
        <w:t>Le montant total adjugé en vente aux enchères s’élève à 1,</w:t>
      </w:r>
      <w:r w:rsidR="00267E9A">
        <w:rPr>
          <w:rFonts w:asciiTheme="minorHAnsi" w:hAnsiTheme="minorHAnsi" w:cs="Arial"/>
        </w:rPr>
        <w:t>4</w:t>
      </w:r>
      <w:r w:rsidR="00F46A80">
        <w:rPr>
          <w:rFonts w:asciiTheme="minorHAnsi" w:hAnsiTheme="minorHAnsi" w:cs="Arial"/>
        </w:rPr>
        <w:t>2</w:t>
      </w:r>
      <w:r w:rsidRPr="006B0240">
        <w:rPr>
          <w:rFonts w:asciiTheme="minorHAnsi" w:hAnsiTheme="minorHAnsi" w:cs="Arial"/>
        </w:rPr>
        <w:t xml:space="preserve"> milliard d’euros. </w:t>
      </w:r>
      <w:r w:rsidR="003B69B7" w:rsidRPr="006B0240">
        <w:rPr>
          <w:rFonts w:asciiTheme="minorHAnsi" w:hAnsiTheme="minorHAnsi" w:cs="Arial"/>
        </w:rPr>
        <w:t>L</w:t>
      </w:r>
      <w:r w:rsidRPr="006B0240">
        <w:rPr>
          <w:rFonts w:asciiTheme="minorHAnsi" w:hAnsiTheme="minorHAnsi" w:cs="Arial"/>
        </w:rPr>
        <w:t>a part du secteur</w:t>
      </w:r>
      <w:r w:rsidR="007738E4">
        <w:rPr>
          <w:rFonts w:asciiTheme="minorHAnsi" w:hAnsiTheme="minorHAnsi" w:cs="Arial"/>
        </w:rPr>
        <w:t>, qui</w:t>
      </w:r>
      <w:r w:rsidRPr="006B0240">
        <w:rPr>
          <w:rFonts w:asciiTheme="minorHAnsi" w:hAnsiTheme="minorHAnsi" w:cs="Arial"/>
        </w:rPr>
        <w:t xml:space="preserve"> s’élève à 4</w:t>
      </w:r>
      <w:r w:rsidR="007738E4">
        <w:rPr>
          <w:rFonts w:asciiTheme="minorHAnsi" w:hAnsiTheme="minorHAnsi" w:cs="Arial"/>
        </w:rPr>
        <w:t>7</w:t>
      </w:r>
      <w:r w:rsidRPr="006B0240">
        <w:rPr>
          <w:rFonts w:asciiTheme="minorHAnsi" w:hAnsiTheme="minorHAnsi" w:cs="Arial"/>
        </w:rPr>
        <w:t xml:space="preserve">% du montant total des adjudications, </w:t>
      </w:r>
      <w:r w:rsidR="00267E9A">
        <w:rPr>
          <w:rFonts w:asciiTheme="minorHAnsi" w:hAnsiTheme="minorHAnsi" w:cs="Arial"/>
        </w:rPr>
        <w:t>reste, comme en 201</w:t>
      </w:r>
      <w:r w:rsidR="00F46A80">
        <w:rPr>
          <w:rFonts w:asciiTheme="minorHAnsi" w:hAnsiTheme="minorHAnsi" w:cs="Arial"/>
        </w:rPr>
        <w:t>7</w:t>
      </w:r>
      <w:r w:rsidR="00267E9A">
        <w:rPr>
          <w:rFonts w:asciiTheme="minorHAnsi" w:hAnsiTheme="minorHAnsi" w:cs="Arial"/>
        </w:rPr>
        <w:t xml:space="preserve">, </w:t>
      </w:r>
      <w:r w:rsidR="007738E4">
        <w:rPr>
          <w:rFonts w:asciiTheme="minorHAnsi" w:hAnsiTheme="minorHAnsi" w:cs="Arial"/>
        </w:rPr>
        <w:t>équivalente à celle du secteur « Art et objets de collection ».</w:t>
      </w:r>
    </w:p>
    <w:p w:rsidR="007738E4" w:rsidRDefault="00267E9A" w:rsidP="00B01136">
      <w:pPr>
        <w:jc w:val="both"/>
        <w:rPr>
          <w:rFonts w:asciiTheme="minorHAnsi" w:hAnsiTheme="minorHAnsi" w:cs="Arial"/>
        </w:rPr>
      </w:pPr>
      <w:r>
        <w:rPr>
          <w:rFonts w:asciiTheme="minorHAnsi" w:hAnsiTheme="minorHAnsi" w:cs="Arial"/>
        </w:rPr>
        <w:t>En 201</w:t>
      </w:r>
      <w:r w:rsidR="00F46A80">
        <w:rPr>
          <w:rFonts w:asciiTheme="minorHAnsi" w:hAnsiTheme="minorHAnsi" w:cs="Arial"/>
        </w:rPr>
        <w:t>8</w:t>
      </w:r>
      <w:r>
        <w:rPr>
          <w:rFonts w:asciiTheme="minorHAnsi" w:hAnsiTheme="minorHAnsi" w:cs="Arial"/>
        </w:rPr>
        <w:t>,</w:t>
      </w:r>
      <w:r w:rsidR="00F46A80">
        <w:rPr>
          <w:rFonts w:asciiTheme="minorHAnsi" w:hAnsiTheme="minorHAnsi" w:cs="Arial"/>
        </w:rPr>
        <w:t xml:space="preserve"> </w:t>
      </w:r>
      <w:r w:rsidR="00B01136" w:rsidRPr="006B0240">
        <w:rPr>
          <w:rFonts w:asciiTheme="minorHAnsi" w:hAnsiTheme="minorHAnsi" w:cs="Arial"/>
        </w:rPr>
        <w:t>les</w:t>
      </w:r>
      <w:r w:rsidR="003B69B7" w:rsidRPr="006B0240">
        <w:rPr>
          <w:rFonts w:asciiTheme="minorHAnsi" w:hAnsiTheme="minorHAnsi" w:cs="Arial"/>
        </w:rPr>
        <w:t xml:space="preserve"> </w:t>
      </w:r>
      <w:r w:rsidR="00F46A80">
        <w:rPr>
          <w:rFonts w:asciiTheme="minorHAnsi" w:hAnsiTheme="minorHAnsi" w:cs="Arial"/>
        </w:rPr>
        <w:t>3</w:t>
      </w:r>
      <w:r w:rsidR="003B69B7" w:rsidRPr="006B0240">
        <w:rPr>
          <w:rFonts w:asciiTheme="minorHAnsi" w:hAnsiTheme="minorHAnsi" w:cs="Arial"/>
        </w:rPr>
        <w:t xml:space="preserve"> </w:t>
      </w:r>
      <w:r w:rsidR="00B01136" w:rsidRPr="006B0240">
        <w:rPr>
          <w:rFonts w:asciiTheme="minorHAnsi" w:hAnsiTheme="minorHAnsi" w:cs="Arial"/>
        </w:rPr>
        <w:t>premiers rangs du classement général des opérateurs de ventes</w:t>
      </w:r>
      <w:r w:rsidR="00F46A80">
        <w:rPr>
          <w:rFonts w:asciiTheme="minorHAnsi" w:hAnsiTheme="minorHAnsi" w:cs="Arial"/>
        </w:rPr>
        <w:t xml:space="preserve"> sont</w:t>
      </w:r>
      <w:r w:rsidR="00B01136" w:rsidRPr="006B0240">
        <w:rPr>
          <w:rFonts w:asciiTheme="minorHAnsi" w:hAnsiTheme="minorHAnsi" w:cs="Arial"/>
        </w:rPr>
        <w:t xml:space="preserve"> occupés par </w:t>
      </w:r>
      <w:r w:rsidR="00F46A80">
        <w:rPr>
          <w:rFonts w:asciiTheme="minorHAnsi" w:hAnsiTheme="minorHAnsi" w:cs="Arial"/>
        </w:rPr>
        <w:t>3</w:t>
      </w:r>
      <w:r w:rsidR="003B69B7" w:rsidRPr="006B0240">
        <w:rPr>
          <w:rFonts w:asciiTheme="minorHAnsi" w:hAnsiTheme="minorHAnsi" w:cs="Arial"/>
        </w:rPr>
        <w:t xml:space="preserve"> </w:t>
      </w:r>
      <w:r w:rsidR="00B01136" w:rsidRPr="006B0240">
        <w:rPr>
          <w:rFonts w:asciiTheme="minorHAnsi" w:hAnsiTheme="minorHAnsi" w:cs="Arial"/>
        </w:rPr>
        <w:t>opérateurs spécialisés du secteur « Véhicules d’occasion et matériel industriel »</w:t>
      </w:r>
      <w:r w:rsidR="007738E4">
        <w:rPr>
          <w:rFonts w:asciiTheme="minorHAnsi" w:hAnsiTheme="minorHAnsi" w:cs="Arial"/>
        </w:rPr>
        <w:t> : et</w:t>
      </w:r>
      <w:r w:rsidR="00F46A80">
        <w:rPr>
          <w:rFonts w:asciiTheme="minorHAnsi" w:hAnsiTheme="minorHAnsi" w:cs="Arial"/>
        </w:rPr>
        <w:t xml:space="preserve"> </w:t>
      </w:r>
      <w:r w:rsidR="007738E4">
        <w:rPr>
          <w:rFonts w:asciiTheme="minorHAnsi" w:hAnsiTheme="minorHAnsi" w:cs="Arial"/>
        </w:rPr>
        <w:t xml:space="preserve"> </w:t>
      </w:r>
      <w:r w:rsidR="007738E4" w:rsidRPr="00F07394">
        <w:rPr>
          <w:rFonts w:asciiTheme="minorHAnsi" w:hAnsiTheme="minorHAnsi" w:cs="Arial"/>
          <w:b/>
        </w:rPr>
        <w:t>BC Auto</w:t>
      </w:r>
      <w:r w:rsidR="00C01474">
        <w:rPr>
          <w:rFonts w:asciiTheme="minorHAnsi" w:hAnsiTheme="minorHAnsi" w:cs="Arial"/>
          <w:b/>
        </w:rPr>
        <w:t xml:space="preserve"> E</w:t>
      </w:r>
      <w:r w:rsidR="007738E4" w:rsidRPr="00F07394">
        <w:rPr>
          <w:rFonts w:asciiTheme="minorHAnsi" w:hAnsiTheme="minorHAnsi" w:cs="Arial"/>
          <w:b/>
        </w:rPr>
        <w:t>nchères</w:t>
      </w:r>
      <w:r w:rsidR="00F46A80">
        <w:rPr>
          <w:rFonts w:asciiTheme="minorHAnsi" w:hAnsiTheme="minorHAnsi" w:cs="Arial"/>
          <w:b/>
        </w:rPr>
        <w:t xml:space="preserve">, </w:t>
      </w:r>
      <w:proofErr w:type="spellStart"/>
      <w:r w:rsidR="00F46A80">
        <w:rPr>
          <w:rFonts w:asciiTheme="minorHAnsi" w:hAnsiTheme="minorHAnsi" w:cs="Arial"/>
          <w:b/>
        </w:rPr>
        <w:t>Alcopa</w:t>
      </w:r>
      <w:proofErr w:type="spellEnd"/>
      <w:r w:rsidR="00F46A80">
        <w:rPr>
          <w:rFonts w:asciiTheme="minorHAnsi" w:hAnsiTheme="minorHAnsi" w:cs="Arial"/>
          <w:b/>
        </w:rPr>
        <w:t xml:space="preserve"> </w:t>
      </w:r>
      <w:proofErr w:type="spellStart"/>
      <w:r w:rsidR="00F46A80">
        <w:rPr>
          <w:rFonts w:asciiTheme="minorHAnsi" w:hAnsiTheme="minorHAnsi" w:cs="Arial"/>
          <w:b/>
        </w:rPr>
        <w:t>Auction</w:t>
      </w:r>
      <w:proofErr w:type="spellEnd"/>
      <w:r w:rsidR="00F46A80">
        <w:rPr>
          <w:rFonts w:asciiTheme="minorHAnsi" w:hAnsiTheme="minorHAnsi" w:cs="Arial"/>
          <w:b/>
        </w:rPr>
        <w:t xml:space="preserve">, </w:t>
      </w:r>
      <w:r w:rsidR="00F46A80" w:rsidRPr="00F46A80">
        <w:rPr>
          <w:rFonts w:asciiTheme="minorHAnsi" w:hAnsiTheme="minorHAnsi" w:cs="Arial"/>
          <w:b/>
        </w:rPr>
        <w:t>VP Auto</w:t>
      </w:r>
      <w:r w:rsidR="007738E4">
        <w:rPr>
          <w:rFonts w:asciiTheme="minorHAnsi" w:hAnsiTheme="minorHAnsi" w:cs="Arial"/>
        </w:rPr>
        <w:t>.</w:t>
      </w:r>
    </w:p>
    <w:p w:rsidR="00B01136" w:rsidRPr="006B0240" w:rsidRDefault="00B01136" w:rsidP="00B01136">
      <w:pPr>
        <w:jc w:val="both"/>
        <w:rPr>
          <w:rFonts w:asciiTheme="minorHAnsi" w:hAnsiTheme="minorHAnsi" w:cs="Arial"/>
        </w:rPr>
      </w:pPr>
      <w:r w:rsidRPr="006B0240">
        <w:rPr>
          <w:rFonts w:asciiTheme="minorHAnsi" w:hAnsiTheme="minorHAnsi" w:cs="Arial"/>
        </w:rPr>
        <w:t xml:space="preserve"> </w:t>
      </w:r>
    </w:p>
    <w:p w:rsidR="00B01136" w:rsidRDefault="00DA2389" w:rsidP="006B0240">
      <w:pPr>
        <w:jc w:val="both"/>
        <w:rPr>
          <w:rFonts w:asciiTheme="minorHAnsi" w:hAnsiTheme="minorHAnsi" w:cs="Arial"/>
        </w:rPr>
      </w:pPr>
      <w:r w:rsidRPr="00DA2389">
        <w:rPr>
          <w:rFonts w:asciiTheme="minorHAnsi" w:hAnsiTheme="minorHAnsi" w:cs="Arial"/>
        </w:rPr>
        <w:t>La croissance du nombre de véhicules d’occasion vendus aux enchères (2</w:t>
      </w:r>
      <w:r w:rsidR="00F46A80">
        <w:rPr>
          <w:rFonts w:asciiTheme="minorHAnsi" w:hAnsiTheme="minorHAnsi" w:cs="Arial"/>
        </w:rPr>
        <w:t>7</w:t>
      </w:r>
      <w:r w:rsidRPr="00DA2389">
        <w:rPr>
          <w:rFonts w:asciiTheme="minorHAnsi" w:hAnsiTheme="minorHAnsi" w:cs="Arial"/>
        </w:rPr>
        <w:t>6000 vendu</w:t>
      </w:r>
      <w:r w:rsidR="00F46A80">
        <w:rPr>
          <w:rFonts w:asciiTheme="minorHAnsi" w:hAnsiTheme="minorHAnsi" w:cs="Arial"/>
        </w:rPr>
        <w:t>s soit  + 4 % par rapport à 2017, croissance en % identique à celle de 2017</w:t>
      </w:r>
      <w:r w:rsidRPr="00DA2389">
        <w:rPr>
          <w:rFonts w:asciiTheme="minorHAnsi" w:hAnsiTheme="minorHAnsi" w:cs="Arial"/>
        </w:rPr>
        <w:t>)</w:t>
      </w:r>
      <w:r w:rsidR="00F46A80">
        <w:rPr>
          <w:rFonts w:asciiTheme="minorHAnsi" w:hAnsiTheme="minorHAnsi" w:cs="Arial"/>
        </w:rPr>
        <w:t xml:space="preserve"> conjuguée à l’érosion du prix de vente moyen des deux leaders, ainsi que la baisse du montant des ventes aux enchères publiques comptabilisées cette année par le N°3 (VP Auto) </w:t>
      </w:r>
      <w:r w:rsidRPr="00DA2389">
        <w:rPr>
          <w:rFonts w:asciiTheme="minorHAnsi" w:hAnsiTheme="minorHAnsi" w:cs="Arial"/>
        </w:rPr>
        <w:t>explique</w:t>
      </w:r>
      <w:r w:rsidR="00F46A80">
        <w:rPr>
          <w:rFonts w:asciiTheme="minorHAnsi" w:hAnsiTheme="minorHAnsi" w:cs="Arial"/>
        </w:rPr>
        <w:t>nt cette évolution générale d</w:t>
      </w:r>
      <w:r w:rsidRPr="00DA2389">
        <w:rPr>
          <w:rFonts w:asciiTheme="minorHAnsi" w:hAnsiTheme="minorHAnsi" w:cs="Arial"/>
        </w:rPr>
        <w:t>u montant</w:t>
      </w:r>
      <w:r w:rsidR="00F46A80">
        <w:rPr>
          <w:rFonts w:asciiTheme="minorHAnsi" w:hAnsiTheme="minorHAnsi" w:cs="Arial"/>
        </w:rPr>
        <w:t xml:space="preserve"> total adjugé du secteur en 2018</w:t>
      </w:r>
      <w:r w:rsidRPr="00DA2389">
        <w:rPr>
          <w:rFonts w:asciiTheme="minorHAnsi" w:hAnsiTheme="minorHAnsi" w:cs="Arial"/>
        </w:rPr>
        <w:t>.</w:t>
      </w:r>
      <w:r w:rsidR="008977E1">
        <w:rPr>
          <w:rFonts w:asciiTheme="minorHAnsi" w:hAnsiTheme="minorHAnsi" w:cs="Arial"/>
        </w:rPr>
        <w:t xml:space="preserve"> C</w:t>
      </w:r>
      <w:r w:rsidR="00D01E41">
        <w:rPr>
          <w:rFonts w:asciiTheme="minorHAnsi" w:hAnsiTheme="minorHAnsi" w:cs="Arial"/>
        </w:rPr>
        <w:t xml:space="preserve">es ventes aux enchères </w:t>
      </w:r>
      <w:r w:rsidR="00B01136" w:rsidRPr="006B0240">
        <w:rPr>
          <w:rFonts w:asciiTheme="minorHAnsi" w:hAnsiTheme="minorHAnsi" w:cs="Arial"/>
        </w:rPr>
        <w:t>représentent 4,</w:t>
      </w:r>
      <w:r w:rsidR="00F46A80">
        <w:rPr>
          <w:rFonts w:asciiTheme="minorHAnsi" w:hAnsiTheme="minorHAnsi" w:cs="Arial"/>
        </w:rPr>
        <w:t>9</w:t>
      </w:r>
      <w:r w:rsidR="000763DE">
        <w:rPr>
          <w:rFonts w:asciiTheme="minorHAnsi" w:hAnsiTheme="minorHAnsi" w:cs="Arial"/>
        </w:rPr>
        <w:t xml:space="preserve"> </w:t>
      </w:r>
      <w:r w:rsidR="00B01136" w:rsidRPr="006B0240">
        <w:rPr>
          <w:rFonts w:asciiTheme="minorHAnsi" w:hAnsiTheme="minorHAnsi" w:cs="Arial"/>
        </w:rPr>
        <w:t>% des ventes de véhicules d’occasion en France en 201</w:t>
      </w:r>
      <w:r w:rsidR="00F46A80">
        <w:rPr>
          <w:rFonts w:asciiTheme="minorHAnsi" w:hAnsiTheme="minorHAnsi" w:cs="Arial"/>
        </w:rPr>
        <w:t>8</w:t>
      </w:r>
      <w:r w:rsidR="00B01136" w:rsidRPr="006B0240">
        <w:rPr>
          <w:rFonts w:asciiTheme="minorHAnsi" w:hAnsiTheme="minorHAnsi" w:cs="Arial"/>
        </w:rPr>
        <w:t xml:space="preserve">. </w:t>
      </w:r>
      <w:r w:rsidR="00D01E41">
        <w:rPr>
          <w:rFonts w:asciiTheme="minorHAnsi" w:hAnsiTheme="minorHAnsi" w:cs="Arial"/>
        </w:rPr>
        <w:t>Le prix moyen d’adjudication d’un véhicule d’occasion reste de 5000 €</w:t>
      </w:r>
      <w:r w:rsidR="00F46A80">
        <w:rPr>
          <w:rFonts w:asciiTheme="minorHAnsi" w:hAnsiTheme="minorHAnsi" w:cs="Arial"/>
        </w:rPr>
        <w:t xml:space="preserve"> mais masque de fortes disparités selon les maisons de vente</w:t>
      </w:r>
      <w:r w:rsidR="00D01E41">
        <w:rPr>
          <w:rFonts w:asciiTheme="minorHAnsi" w:hAnsiTheme="minorHAnsi" w:cs="Arial"/>
        </w:rPr>
        <w:t xml:space="preserve">. </w:t>
      </w:r>
    </w:p>
    <w:p w:rsidR="00D01E41" w:rsidRDefault="00D01E41" w:rsidP="006B0240">
      <w:pPr>
        <w:jc w:val="both"/>
        <w:rPr>
          <w:rFonts w:asciiTheme="minorHAnsi" w:hAnsiTheme="minorHAnsi" w:cs="Arial"/>
        </w:rPr>
      </w:pPr>
    </w:p>
    <w:p w:rsidR="00D01E41" w:rsidRDefault="00D01E41" w:rsidP="006B0240">
      <w:pPr>
        <w:jc w:val="both"/>
        <w:rPr>
          <w:rFonts w:asciiTheme="minorHAnsi" w:hAnsiTheme="minorHAnsi" w:cs="Arial"/>
        </w:rPr>
      </w:pPr>
      <w:r>
        <w:rPr>
          <w:rFonts w:asciiTheme="minorHAnsi" w:hAnsiTheme="minorHAnsi" w:cs="Arial"/>
        </w:rPr>
        <w:t xml:space="preserve">Les ventes de matériel industriel sont </w:t>
      </w:r>
      <w:r w:rsidR="00F46A80">
        <w:rPr>
          <w:rFonts w:asciiTheme="minorHAnsi" w:hAnsiTheme="minorHAnsi" w:cs="Arial"/>
        </w:rPr>
        <w:t xml:space="preserve">en diminution (- 24 %) et s’élèvent à 64 M€ </w:t>
      </w:r>
      <w:r>
        <w:rPr>
          <w:rFonts w:asciiTheme="minorHAnsi" w:hAnsiTheme="minorHAnsi" w:cs="Arial"/>
        </w:rPr>
        <w:t>en 201</w:t>
      </w:r>
      <w:r w:rsidR="00F46A80">
        <w:rPr>
          <w:rFonts w:asciiTheme="minorHAnsi" w:hAnsiTheme="minorHAnsi" w:cs="Arial"/>
        </w:rPr>
        <w:t>8</w:t>
      </w:r>
      <w:r>
        <w:rPr>
          <w:rFonts w:asciiTheme="minorHAnsi" w:hAnsiTheme="minorHAnsi" w:cs="Arial"/>
        </w:rPr>
        <w:t xml:space="preserve">. </w:t>
      </w:r>
    </w:p>
    <w:p w:rsidR="00B01136" w:rsidRPr="006B0240" w:rsidRDefault="00B01136" w:rsidP="00B01136">
      <w:pPr>
        <w:jc w:val="both"/>
        <w:rPr>
          <w:rFonts w:asciiTheme="minorHAnsi" w:hAnsiTheme="minorHAnsi" w:cs="Arial"/>
          <w:b/>
          <w:color w:val="1F497D"/>
        </w:rPr>
      </w:pPr>
    </w:p>
    <w:p w:rsidR="00B01136" w:rsidRPr="006B0240" w:rsidRDefault="00B01136" w:rsidP="00B01136">
      <w:pPr>
        <w:jc w:val="both"/>
        <w:rPr>
          <w:rFonts w:asciiTheme="minorHAnsi" w:hAnsiTheme="minorHAnsi" w:cs="Arial"/>
          <w:b/>
          <w:color w:val="1F497D"/>
        </w:rPr>
      </w:pPr>
      <w:r w:rsidRPr="006B0240">
        <w:rPr>
          <w:rFonts w:asciiTheme="minorHAnsi" w:hAnsiTheme="minorHAnsi" w:cs="Arial"/>
          <w:b/>
          <w:color w:val="1F497D"/>
        </w:rPr>
        <w:t xml:space="preserve">Le secteur « Chevaux » : </w:t>
      </w:r>
      <w:r w:rsidR="00F46A80">
        <w:rPr>
          <w:rFonts w:asciiTheme="minorHAnsi" w:hAnsiTheme="minorHAnsi" w:cs="Arial"/>
          <w:b/>
          <w:color w:val="1F497D"/>
        </w:rPr>
        <w:t xml:space="preserve">seul secteur en </w:t>
      </w:r>
      <w:r w:rsidRPr="006B0240">
        <w:rPr>
          <w:rFonts w:asciiTheme="minorHAnsi" w:hAnsiTheme="minorHAnsi" w:cs="Arial"/>
          <w:b/>
          <w:color w:val="1F497D"/>
        </w:rPr>
        <w:t xml:space="preserve">croissance </w:t>
      </w:r>
      <w:r w:rsidR="00F46A80">
        <w:rPr>
          <w:rFonts w:asciiTheme="minorHAnsi" w:hAnsiTheme="minorHAnsi" w:cs="Arial"/>
          <w:b/>
          <w:color w:val="1F497D"/>
        </w:rPr>
        <w:t>en 2018 (+</w:t>
      </w:r>
      <w:r w:rsidR="000763DE">
        <w:rPr>
          <w:rFonts w:asciiTheme="minorHAnsi" w:hAnsiTheme="minorHAnsi" w:cs="Arial"/>
          <w:b/>
          <w:color w:val="1F497D"/>
        </w:rPr>
        <w:t xml:space="preserve"> </w:t>
      </w:r>
      <w:r w:rsidR="00F46A80">
        <w:rPr>
          <w:rFonts w:asciiTheme="minorHAnsi" w:hAnsiTheme="minorHAnsi" w:cs="Arial"/>
          <w:b/>
          <w:color w:val="1F497D"/>
        </w:rPr>
        <w:t>3,5 %)</w:t>
      </w:r>
      <w:r w:rsidRPr="006B0240">
        <w:rPr>
          <w:rFonts w:asciiTheme="minorHAnsi" w:hAnsiTheme="minorHAnsi" w:cs="Arial"/>
          <w:b/>
          <w:color w:val="1F497D"/>
        </w:rPr>
        <w:t>.</w:t>
      </w:r>
    </w:p>
    <w:p w:rsidR="00B01136" w:rsidRPr="006B0240" w:rsidRDefault="00B01136" w:rsidP="00B01136">
      <w:pPr>
        <w:jc w:val="both"/>
        <w:rPr>
          <w:rFonts w:asciiTheme="minorHAnsi" w:hAnsiTheme="minorHAnsi" w:cs="Arial"/>
          <w:b/>
        </w:rPr>
      </w:pPr>
    </w:p>
    <w:p w:rsidR="00B01136" w:rsidRPr="006B0240" w:rsidRDefault="00B01136" w:rsidP="00B01136">
      <w:pPr>
        <w:jc w:val="both"/>
        <w:rPr>
          <w:rFonts w:asciiTheme="minorHAnsi" w:hAnsiTheme="minorHAnsi" w:cs="Arial"/>
        </w:rPr>
      </w:pPr>
      <w:r w:rsidRPr="006B0240">
        <w:rPr>
          <w:rFonts w:asciiTheme="minorHAnsi" w:hAnsiTheme="minorHAnsi" w:cs="Arial"/>
        </w:rPr>
        <w:t>Le premier opérateur du secteur</w:t>
      </w:r>
      <w:r w:rsidR="008B2B73">
        <w:rPr>
          <w:rFonts w:asciiTheme="minorHAnsi" w:hAnsiTheme="minorHAnsi" w:cs="Arial"/>
        </w:rPr>
        <w:t xml:space="preserve"> (89 % du montant des ventes)</w:t>
      </w:r>
      <w:r w:rsidRPr="006B0240">
        <w:rPr>
          <w:rFonts w:asciiTheme="minorHAnsi" w:hAnsiTheme="minorHAnsi" w:cs="Arial"/>
        </w:rPr>
        <w:t>,</w:t>
      </w:r>
      <w:r w:rsidRPr="006B0240">
        <w:rPr>
          <w:rFonts w:asciiTheme="minorHAnsi" w:hAnsiTheme="minorHAnsi" w:cs="Arial"/>
          <w:b/>
        </w:rPr>
        <w:t xml:space="preserve"> Arqana</w:t>
      </w:r>
      <w:r w:rsidRPr="006B0240">
        <w:rPr>
          <w:rFonts w:asciiTheme="minorHAnsi" w:hAnsiTheme="minorHAnsi" w:cs="Arial"/>
        </w:rPr>
        <w:t xml:space="preserve"> enregistre une augmentation de </w:t>
      </w:r>
      <w:r w:rsidR="00F46A80">
        <w:rPr>
          <w:rFonts w:asciiTheme="minorHAnsi" w:hAnsiTheme="minorHAnsi" w:cs="Arial"/>
        </w:rPr>
        <w:t>4</w:t>
      </w:r>
      <w:r w:rsidRPr="006B0240">
        <w:rPr>
          <w:rFonts w:asciiTheme="minorHAnsi" w:hAnsiTheme="minorHAnsi" w:cs="Arial"/>
        </w:rPr>
        <w:t xml:space="preserve"> % de son montant adjugé en 201</w:t>
      </w:r>
      <w:r w:rsidR="00F46A80">
        <w:rPr>
          <w:rFonts w:asciiTheme="minorHAnsi" w:hAnsiTheme="minorHAnsi" w:cs="Arial"/>
        </w:rPr>
        <w:t>8</w:t>
      </w:r>
      <w:r w:rsidRPr="006B0240">
        <w:rPr>
          <w:rFonts w:asciiTheme="minorHAnsi" w:hAnsiTheme="minorHAnsi" w:cs="Arial"/>
        </w:rPr>
        <w:t>, permettant au secteur « Chevaux »</w:t>
      </w:r>
      <w:r w:rsidR="008B2B73">
        <w:rPr>
          <w:rFonts w:asciiTheme="minorHAnsi" w:hAnsiTheme="minorHAnsi" w:cs="Arial"/>
        </w:rPr>
        <w:t xml:space="preserve">, </w:t>
      </w:r>
      <w:r w:rsidRPr="006B0240">
        <w:rPr>
          <w:rFonts w:asciiTheme="minorHAnsi" w:hAnsiTheme="minorHAnsi" w:cs="Arial"/>
        </w:rPr>
        <w:t>de réaliser sa meilleure performance avec un montant total adjugé de 1</w:t>
      </w:r>
      <w:r w:rsidR="008B2B73">
        <w:rPr>
          <w:rFonts w:asciiTheme="minorHAnsi" w:hAnsiTheme="minorHAnsi" w:cs="Arial"/>
        </w:rPr>
        <w:t>7</w:t>
      </w:r>
      <w:r w:rsidR="00F46A80">
        <w:rPr>
          <w:rFonts w:asciiTheme="minorHAnsi" w:hAnsiTheme="minorHAnsi" w:cs="Arial"/>
        </w:rPr>
        <w:t>6</w:t>
      </w:r>
      <w:r w:rsidRPr="006B0240">
        <w:rPr>
          <w:rFonts w:asciiTheme="minorHAnsi" w:hAnsiTheme="minorHAnsi" w:cs="Arial"/>
        </w:rPr>
        <w:t xml:space="preserve"> millions d’euros.  Le nombre de chevaux </w:t>
      </w:r>
      <w:r w:rsidR="000D5D96">
        <w:rPr>
          <w:rFonts w:asciiTheme="minorHAnsi" w:hAnsiTheme="minorHAnsi" w:cs="Arial"/>
        </w:rPr>
        <w:t xml:space="preserve">de course </w:t>
      </w:r>
      <w:r w:rsidRPr="006B0240">
        <w:rPr>
          <w:rFonts w:asciiTheme="minorHAnsi" w:hAnsiTheme="minorHAnsi" w:cs="Arial"/>
        </w:rPr>
        <w:t xml:space="preserve">vendu </w:t>
      </w:r>
      <w:r w:rsidR="00F46A80">
        <w:rPr>
          <w:rFonts w:asciiTheme="minorHAnsi" w:hAnsiTheme="minorHAnsi" w:cs="Arial"/>
        </w:rPr>
        <w:t>augmente (+ 5,5 %)</w:t>
      </w:r>
      <w:r w:rsidR="000D5D96">
        <w:rPr>
          <w:rFonts w:asciiTheme="minorHAnsi" w:hAnsiTheme="minorHAnsi" w:cs="Arial"/>
        </w:rPr>
        <w:t xml:space="preserve">. </w:t>
      </w:r>
      <w:r w:rsidRPr="006B0240">
        <w:rPr>
          <w:rFonts w:asciiTheme="minorHAnsi" w:hAnsiTheme="minorHAnsi" w:cs="Arial"/>
        </w:rPr>
        <w:t xml:space="preserve">La progression </w:t>
      </w:r>
      <w:r w:rsidR="008B2B73">
        <w:rPr>
          <w:rFonts w:asciiTheme="minorHAnsi" w:hAnsiTheme="minorHAnsi" w:cs="Arial"/>
        </w:rPr>
        <w:t>totale des ventes en 201</w:t>
      </w:r>
      <w:r w:rsidR="00ED311E">
        <w:rPr>
          <w:rFonts w:asciiTheme="minorHAnsi" w:hAnsiTheme="minorHAnsi" w:cs="Arial"/>
        </w:rPr>
        <w:t>8</w:t>
      </w:r>
      <w:r w:rsidR="008B2B73">
        <w:rPr>
          <w:rFonts w:asciiTheme="minorHAnsi" w:hAnsiTheme="minorHAnsi" w:cs="Arial"/>
        </w:rPr>
        <w:t xml:space="preserve"> résulte </w:t>
      </w:r>
      <w:r w:rsidR="00ED311E" w:rsidRPr="00ED311E">
        <w:rPr>
          <w:rFonts w:asciiTheme="minorHAnsi" w:hAnsiTheme="minorHAnsi" w:cs="Arial"/>
        </w:rPr>
        <w:t xml:space="preserve">de la progression </w:t>
      </w:r>
      <w:r w:rsidR="008B2B73">
        <w:rPr>
          <w:rFonts w:asciiTheme="minorHAnsi" w:hAnsiTheme="minorHAnsi" w:cs="Arial"/>
        </w:rPr>
        <w:t>d</w:t>
      </w:r>
      <w:r w:rsidR="00ED311E">
        <w:rPr>
          <w:rFonts w:asciiTheme="minorHAnsi" w:hAnsiTheme="minorHAnsi" w:cs="Arial"/>
        </w:rPr>
        <w:t xml:space="preserve">’une part, du nombre </w:t>
      </w:r>
      <w:r w:rsidRPr="006B0240">
        <w:rPr>
          <w:rFonts w:asciiTheme="minorHAnsi" w:hAnsiTheme="minorHAnsi" w:cs="Arial"/>
        </w:rPr>
        <w:t xml:space="preserve">de chevaux de galop </w:t>
      </w:r>
      <w:r w:rsidR="00ED311E">
        <w:rPr>
          <w:rFonts w:asciiTheme="minorHAnsi" w:hAnsiTheme="minorHAnsi" w:cs="Arial"/>
        </w:rPr>
        <w:t xml:space="preserve">vendus, d’autre part </w:t>
      </w:r>
      <w:r w:rsidR="008B2B73">
        <w:rPr>
          <w:rFonts w:asciiTheme="minorHAnsi" w:hAnsiTheme="minorHAnsi" w:cs="Arial"/>
        </w:rPr>
        <w:t>de</w:t>
      </w:r>
      <w:r w:rsidR="00ED311E">
        <w:rPr>
          <w:rFonts w:asciiTheme="minorHAnsi" w:hAnsiTheme="minorHAnsi" w:cs="Arial"/>
        </w:rPr>
        <w:t>s prix et du nombre de</w:t>
      </w:r>
      <w:r w:rsidR="008B2B73">
        <w:rPr>
          <w:rFonts w:asciiTheme="minorHAnsi" w:hAnsiTheme="minorHAnsi" w:cs="Arial"/>
        </w:rPr>
        <w:t xml:space="preserve"> chevaux de trot</w:t>
      </w:r>
      <w:r w:rsidR="00ED311E">
        <w:rPr>
          <w:rFonts w:asciiTheme="minorHAnsi" w:hAnsiTheme="minorHAnsi" w:cs="Arial"/>
        </w:rPr>
        <w:t xml:space="preserve"> vendus</w:t>
      </w:r>
      <w:r w:rsidR="008B2B73">
        <w:rPr>
          <w:rFonts w:asciiTheme="minorHAnsi" w:hAnsiTheme="minorHAnsi" w:cs="Arial"/>
        </w:rPr>
        <w:t xml:space="preserve"> dont le marché s’est redressé.</w:t>
      </w:r>
    </w:p>
    <w:p w:rsidR="00B01136" w:rsidRPr="006B0240" w:rsidRDefault="00B01136" w:rsidP="00B01136">
      <w:pPr>
        <w:jc w:val="both"/>
        <w:rPr>
          <w:rFonts w:asciiTheme="minorHAnsi" w:hAnsiTheme="minorHAnsi" w:cs="Arial"/>
          <w:b/>
        </w:rPr>
      </w:pPr>
    </w:p>
    <w:p w:rsidR="00B01136" w:rsidRPr="006B0240" w:rsidRDefault="00B01136" w:rsidP="00B01136">
      <w:pPr>
        <w:jc w:val="both"/>
        <w:rPr>
          <w:rFonts w:asciiTheme="minorHAnsi" w:hAnsiTheme="minorHAnsi" w:cs="Arial"/>
          <w:b/>
          <w:color w:val="1F497D"/>
        </w:rPr>
      </w:pPr>
      <w:r w:rsidRPr="006B0240">
        <w:rPr>
          <w:rFonts w:asciiTheme="minorHAnsi" w:hAnsiTheme="minorHAnsi" w:cs="Arial"/>
          <w:b/>
          <w:color w:val="1F497D"/>
        </w:rPr>
        <w:t xml:space="preserve">Les ventes électroniques </w:t>
      </w:r>
      <w:r w:rsidR="00ED311E">
        <w:rPr>
          <w:rFonts w:asciiTheme="minorHAnsi" w:hAnsiTheme="minorHAnsi" w:cs="Arial"/>
          <w:b/>
          <w:color w:val="1F497D"/>
        </w:rPr>
        <w:t>sont stables</w:t>
      </w:r>
    </w:p>
    <w:p w:rsidR="00B01136" w:rsidRPr="006B0240" w:rsidRDefault="00B01136" w:rsidP="00B01136">
      <w:pPr>
        <w:jc w:val="both"/>
        <w:rPr>
          <w:rFonts w:asciiTheme="minorHAnsi" w:hAnsiTheme="minorHAnsi" w:cs="Arial"/>
        </w:rPr>
      </w:pPr>
    </w:p>
    <w:p w:rsidR="00B01136" w:rsidRPr="006B0240" w:rsidRDefault="00ED311E" w:rsidP="00B01136">
      <w:pPr>
        <w:jc w:val="both"/>
        <w:rPr>
          <w:rFonts w:asciiTheme="minorHAnsi" w:hAnsiTheme="minorHAnsi" w:cs="Arial"/>
          <w:b/>
        </w:rPr>
      </w:pPr>
      <w:r>
        <w:rPr>
          <w:rFonts w:asciiTheme="minorHAnsi" w:hAnsiTheme="minorHAnsi" w:cs="Arial"/>
        </w:rPr>
        <w:t>En 2018, l</w:t>
      </w:r>
      <w:r w:rsidR="00B01136" w:rsidRPr="006B0240">
        <w:rPr>
          <w:rFonts w:asciiTheme="minorHAnsi" w:hAnsiTheme="minorHAnsi" w:cs="Arial"/>
        </w:rPr>
        <w:t xml:space="preserve">es ventes </w:t>
      </w:r>
      <w:r w:rsidR="00E25046">
        <w:rPr>
          <w:rFonts w:asciiTheme="minorHAnsi" w:hAnsiTheme="minorHAnsi" w:cs="Arial"/>
        </w:rPr>
        <w:t>électroniques</w:t>
      </w:r>
      <w:r w:rsidR="00B01136" w:rsidRPr="006B0240">
        <w:rPr>
          <w:rFonts w:asciiTheme="minorHAnsi" w:hAnsiTheme="minorHAnsi" w:cs="Arial"/>
        </w:rPr>
        <w:t xml:space="preserve"> </w:t>
      </w:r>
      <w:r>
        <w:rPr>
          <w:rFonts w:asciiTheme="minorHAnsi" w:hAnsiTheme="minorHAnsi" w:cs="Arial"/>
        </w:rPr>
        <w:t xml:space="preserve">atteignent un palier (1138 M€)  et sont en très léger retrait (- 2 %) par rapport à 2017. Le nombre </w:t>
      </w:r>
      <w:r w:rsidR="00B01136" w:rsidRPr="006B0240">
        <w:rPr>
          <w:rFonts w:asciiTheme="minorHAnsi" w:hAnsiTheme="minorHAnsi" w:cs="Arial"/>
        </w:rPr>
        <w:t xml:space="preserve"> </w:t>
      </w:r>
      <w:r>
        <w:rPr>
          <w:rFonts w:asciiTheme="minorHAnsi" w:hAnsiTheme="minorHAnsi" w:cs="Arial"/>
        </w:rPr>
        <w:t>d’</w:t>
      </w:r>
      <w:r w:rsidR="00B01136" w:rsidRPr="006B0240">
        <w:rPr>
          <w:rFonts w:asciiTheme="minorHAnsi" w:hAnsiTheme="minorHAnsi" w:cs="Arial"/>
          <w:b/>
        </w:rPr>
        <w:t>opérateurs déclar</w:t>
      </w:r>
      <w:r>
        <w:rPr>
          <w:rFonts w:asciiTheme="minorHAnsi" w:hAnsiTheme="minorHAnsi" w:cs="Arial"/>
          <w:b/>
        </w:rPr>
        <w:t>a</w:t>
      </w:r>
      <w:r w:rsidR="00B01136" w:rsidRPr="006B0240">
        <w:rPr>
          <w:rFonts w:asciiTheme="minorHAnsi" w:hAnsiTheme="minorHAnsi" w:cs="Arial"/>
          <w:b/>
        </w:rPr>
        <w:t>nt développer une activité de vente électronique</w:t>
      </w:r>
      <w:r>
        <w:rPr>
          <w:rFonts w:asciiTheme="minorHAnsi" w:hAnsiTheme="minorHAnsi" w:cs="Arial"/>
          <w:b/>
        </w:rPr>
        <w:t xml:space="preserve">  (plus de 80 %) progresse désormais peu, signe que le basculement vers les ventes numériques est déjà réalisé. </w:t>
      </w:r>
      <w:r w:rsidR="00B01136" w:rsidRPr="006B0240">
        <w:rPr>
          <w:rFonts w:asciiTheme="minorHAnsi" w:hAnsiTheme="minorHAnsi" w:cs="Arial"/>
          <w:b/>
        </w:rPr>
        <w:t xml:space="preserve"> </w:t>
      </w:r>
    </w:p>
    <w:p w:rsidR="00BA2C0E" w:rsidRDefault="00BA2C0E" w:rsidP="00B01136">
      <w:pPr>
        <w:jc w:val="both"/>
        <w:rPr>
          <w:rFonts w:asciiTheme="minorHAnsi" w:hAnsiTheme="minorHAnsi" w:cs="Arial"/>
        </w:rPr>
      </w:pPr>
    </w:p>
    <w:p w:rsidR="00B01136" w:rsidRPr="006B0240" w:rsidRDefault="000D5D96" w:rsidP="00B01136">
      <w:pPr>
        <w:jc w:val="both"/>
        <w:rPr>
          <w:rFonts w:asciiTheme="minorHAnsi" w:hAnsiTheme="minorHAnsi" w:cs="Arial"/>
        </w:rPr>
      </w:pPr>
      <w:r>
        <w:rPr>
          <w:rFonts w:asciiTheme="minorHAnsi" w:hAnsiTheme="minorHAnsi" w:cs="Arial"/>
        </w:rPr>
        <w:lastRenderedPageBreak/>
        <w:t>L</w:t>
      </w:r>
      <w:r w:rsidR="00B01136" w:rsidRPr="006B0240">
        <w:rPr>
          <w:rFonts w:asciiTheme="minorHAnsi" w:hAnsiTheme="minorHAnsi" w:cs="Arial"/>
        </w:rPr>
        <w:t xml:space="preserve">es montants adjugés par voie électronique représentent </w:t>
      </w:r>
      <w:r w:rsidR="00971112">
        <w:rPr>
          <w:rFonts w:asciiTheme="minorHAnsi" w:hAnsiTheme="minorHAnsi" w:cs="Arial"/>
        </w:rPr>
        <w:t>3</w:t>
      </w:r>
      <w:r w:rsidR="00ED311E">
        <w:rPr>
          <w:rFonts w:asciiTheme="minorHAnsi" w:hAnsiTheme="minorHAnsi" w:cs="Arial"/>
        </w:rPr>
        <w:t>8</w:t>
      </w:r>
      <w:r w:rsidR="00971112">
        <w:rPr>
          <w:rFonts w:asciiTheme="minorHAnsi" w:hAnsiTheme="minorHAnsi" w:cs="Arial"/>
        </w:rPr>
        <w:t xml:space="preserve"> %</w:t>
      </w:r>
      <w:r>
        <w:rPr>
          <w:rFonts w:asciiTheme="minorHAnsi" w:hAnsiTheme="minorHAnsi" w:cs="Arial"/>
        </w:rPr>
        <w:t xml:space="preserve"> </w:t>
      </w:r>
      <w:r w:rsidR="00B01136" w:rsidRPr="006B0240">
        <w:rPr>
          <w:rFonts w:asciiTheme="minorHAnsi" w:hAnsiTheme="minorHAnsi" w:cs="Arial"/>
        </w:rPr>
        <w:t>du montant total adjugé tous secteurs confondus</w:t>
      </w:r>
      <w:r w:rsidR="00ED311E">
        <w:rPr>
          <w:rFonts w:asciiTheme="minorHAnsi" w:hAnsiTheme="minorHAnsi" w:cs="Arial"/>
        </w:rPr>
        <w:t xml:space="preserve"> (contre 37 % en 2017)</w:t>
      </w:r>
      <w:r>
        <w:rPr>
          <w:rFonts w:asciiTheme="minorHAnsi" w:hAnsiTheme="minorHAnsi" w:cs="Arial"/>
        </w:rPr>
        <w:t xml:space="preserve">. </w:t>
      </w:r>
      <w:r w:rsidR="00003232">
        <w:rPr>
          <w:rFonts w:asciiTheme="minorHAnsi" w:hAnsiTheme="minorHAnsi" w:cs="Arial"/>
        </w:rPr>
        <w:t>L</w:t>
      </w:r>
      <w:r>
        <w:rPr>
          <w:rFonts w:asciiTheme="minorHAnsi" w:hAnsiTheme="minorHAnsi" w:cs="Arial"/>
        </w:rPr>
        <w:t xml:space="preserve">es ventes </w:t>
      </w:r>
      <w:r w:rsidR="00003232">
        <w:rPr>
          <w:rFonts w:asciiTheme="minorHAnsi" w:hAnsiTheme="minorHAnsi" w:cs="Arial"/>
        </w:rPr>
        <w:t>« </w:t>
      </w:r>
      <w:r w:rsidR="00A323E7">
        <w:rPr>
          <w:rFonts w:asciiTheme="minorHAnsi" w:hAnsiTheme="minorHAnsi" w:cs="Arial"/>
        </w:rPr>
        <w:t>e</w:t>
      </w:r>
      <w:r w:rsidR="00003232">
        <w:rPr>
          <w:rFonts w:asciiTheme="minorHAnsi" w:hAnsiTheme="minorHAnsi" w:cs="Arial"/>
        </w:rPr>
        <w:t xml:space="preserve">n ligne » (totalement dématérialisées) </w:t>
      </w:r>
      <w:r w:rsidR="00B01136" w:rsidRPr="006B0240">
        <w:rPr>
          <w:rFonts w:asciiTheme="minorHAnsi" w:hAnsiTheme="minorHAnsi" w:cs="Arial"/>
        </w:rPr>
        <w:t>de véhicules d’occasion et de matériel industrie</w:t>
      </w:r>
      <w:r>
        <w:rPr>
          <w:rFonts w:asciiTheme="minorHAnsi" w:hAnsiTheme="minorHAnsi" w:cs="Arial"/>
        </w:rPr>
        <w:t>l en constituent toujours la part principale</w:t>
      </w:r>
      <w:r w:rsidR="00003232">
        <w:rPr>
          <w:rFonts w:asciiTheme="minorHAnsi" w:hAnsiTheme="minorHAnsi" w:cs="Arial"/>
        </w:rPr>
        <w:t xml:space="preserve">. Les ventes </w:t>
      </w:r>
      <w:r w:rsidR="00E25046">
        <w:rPr>
          <w:rFonts w:asciiTheme="minorHAnsi" w:hAnsiTheme="minorHAnsi" w:cs="Arial"/>
        </w:rPr>
        <w:t xml:space="preserve">électroniques </w:t>
      </w:r>
      <w:r>
        <w:rPr>
          <w:rFonts w:asciiTheme="minorHAnsi" w:hAnsiTheme="minorHAnsi" w:cs="Arial"/>
        </w:rPr>
        <w:t>d</w:t>
      </w:r>
      <w:r w:rsidR="00971112">
        <w:rPr>
          <w:rFonts w:asciiTheme="minorHAnsi" w:hAnsiTheme="minorHAnsi" w:cs="Arial"/>
        </w:rPr>
        <w:t>u</w:t>
      </w:r>
      <w:r w:rsidR="00B01136" w:rsidRPr="006B0240">
        <w:rPr>
          <w:rFonts w:asciiTheme="minorHAnsi" w:hAnsiTheme="minorHAnsi" w:cs="Arial"/>
        </w:rPr>
        <w:t xml:space="preserve"> secteur « Art et Objets de Collection »</w:t>
      </w:r>
      <w:r w:rsidR="00971112">
        <w:rPr>
          <w:rFonts w:asciiTheme="minorHAnsi" w:hAnsiTheme="minorHAnsi" w:cs="Arial"/>
        </w:rPr>
        <w:t xml:space="preserve"> (1</w:t>
      </w:r>
      <w:r w:rsidR="00ED311E">
        <w:rPr>
          <w:rFonts w:asciiTheme="minorHAnsi" w:hAnsiTheme="minorHAnsi" w:cs="Arial"/>
        </w:rPr>
        <w:t>8</w:t>
      </w:r>
      <w:r w:rsidR="00971112">
        <w:rPr>
          <w:rFonts w:asciiTheme="minorHAnsi" w:hAnsiTheme="minorHAnsi" w:cs="Arial"/>
        </w:rPr>
        <w:t>9 M€</w:t>
      </w:r>
      <w:r w:rsidR="00ED311E">
        <w:rPr>
          <w:rFonts w:asciiTheme="minorHAnsi" w:hAnsiTheme="minorHAnsi" w:cs="Arial"/>
        </w:rPr>
        <w:t xml:space="preserve"> contre 179 M€ en 2017</w:t>
      </w:r>
      <w:r w:rsidR="00971112">
        <w:rPr>
          <w:rFonts w:asciiTheme="minorHAnsi" w:hAnsiTheme="minorHAnsi" w:cs="Arial"/>
        </w:rPr>
        <w:t>)</w:t>
      </w:r>
      <w:r w:rsidR="00003232">
        <w:rPr>
          <w:rFonts w:asciiTheme="minorHAnsi" w:hAnsiTheme="minorHAnsi" w:cs="Arial"/>
        </w:rPr>
        <w:t>, qui</w:t>
      </w:r>
      <w:r w:rsidR="00B01136" w:rsidRPr="006B0240">
        <w:rPr>
          <w:rFonts w:asciiTheme="minorHAnsi" w:hAnsiTheme="minorHAnsi" w:cs="Arial"/>
        </w:rPr>
        <w:t xml:space="preserve"> continuent de progresser</w:t>
      </w:r>
      <w:r w:rsidR="00003232">
        <w:rPr>
          <w:rFonts w:asciiTheme="minorHAnsi" w:hAnsiTheme="minorHAnsi" w:cs="Arial"/>
        </w:rPr>
        <w:t>, sont, quant à elles, surtout portées par la croissance des enchères « live ».</w:t>
      </w:r>
    </w:p>
    <w:p w:rsidR="00B01136" w:rsidRDefault="00B01136" w:rsidP="00B01136">
      <w:pPr>
        <w:jc w:val="both"/>
        <w:rPr>
          <w:rFonts w:asciiTheme="minorHAnsi" w:hAnsiTheme="minorHAnsi" w:cs="Arial"/>
        </w:rPr>
      </w:pPr>
    </w:p>
    <w:p w:rsidR="00A12C01" w:rsidRDefault="00A12C01" w:rsidP="00B01136">
      <w:pPr>
        <w:jc w:val="both"/>
        <w:rPr>
          <w:rFonts w:asciiTheme="minorHAnsi" w:hAnsiTheme="minorHAnsi" w:cs="Arial"/>
        </w:rPr>
      </w:pPr>
    </w:p>
    <w:p w:rsidR="00A12C01" w:rsidRPr="00A12C01" w:rsidRDefault="00A12C01" w:rsidP="00A12C01">
      <w:pPr>
        <w:pStyle w:val="Paragraphedeliste"/>
        <w:numPr>
          <w:ilvl w:val="0"/>
          <w:numId w:val="5"/>
        </w:numPr>
        <w:jc w:val="both"/>
        <w:rPr>
          <w:rFonts w:asciiTheme="minorHAnsi" w:hAnsiTheme="minorHAnsi" w:cs="Arial"/>
          <w:b/>
        </w:rPr>
      </w:pPr>
      <w:r w:rsidRPr="00A12C01">
        <w:rPr>
          <w:rFonts w:asciiTheme="minorHAnsi" w:hAnsiTheme="minorHAnsi" w:cs="Arial"/>
          <w:b/>
        </w:rPr>
        <w:t>Le Bilan international</w:t>
      </w:r>
      <w:r w:rsidR="00BA2C0E">
        <w:rPr>
          <w:rStyle w:val="Appelnotedebasdep"/>
          <w:rFonts w:asciiTheme="minorHAnsi" w:hAnsiTheme="minorHAnsi" w:cs="Arial"/>
          <w:b/>
        </w:rPr>
        <w:footnoteReference w:id="1"/>
      </w:r>
    </w:p>
    <w:p w:rsidR="00A12C01" w:rsidRDefault="00A12C01" w:rsidP="00B01136">
      <w:pPr>
        <w:jc w:val="both"/>
        <w:rPr>
          <w:rFonts w:asciiTheme="minorHAnsi" w:hAnsiTheme="minorHAnsi" w:cs="Arial"/>
        </w:rPr>
      </w:pPr>
    </w:p>
    <w:p w:rsidR="00A12C01" w:rsidRDefault="00A12C01" w:rsidP="00B01136">
      <w:pPr>
        <w:jc w:val="both"/>
        <w:rPr>
          <w:rFonts w:asciiTheme="minorHAnsi" w:hAnsiTheme="minorHAnsi" w:cs="Arial"/>
        </w:rPr>
      </w:pPr>
      <w:r>
        <w:rPr>
          <w:rFonts w:asciiTheme="minorHAnsi" w:hAnsiTheme="minorHAnsi" w:cs="Arial"/>
        </w:rPr>
        <w:t xml:space="preserve">La </w:t>
      </w:r>
      <w:r w:rsidR="00D36E51">
        <w:rPr>
          <w:rFonts w:asciiTheme="minorHAnsi" w:hAnsiTheme="minorHAnsi" w:cs="Arial"/>
        </w:rPr>
        <w:t xml:space="preserve">baisse </w:t>
      </w:r>
      <w:r>
        <w:rPr>
          <w:rFonts w:asciiTheme="minorHAnsi" w:hAnsiTheme="minorHAnsi" w:cs="Arial"/>
        </w:rPr>
        <w:t>de 201</w:t>
      </w:r>
      <w:r w:rsidR="00D36E51">
        <w:rPr>
          <w:rFonts w:asciiTheme="minorHAnsi" w:hAnsiTheme="minorHAnsi" w:cs="Arial"/>
        </w:rPr>
        <w:t>8</w:t>
      </w:r>
      <w:r w:rsidR="0003072E">
        <w:rPr>
          <w:rFonts w:asciiTheme="minorHAnsi" w:hAnsiTheme="minorHAnsi" w:cs="Arial"/>
        </w:rPr>
        <w:t xml:space="preserve"> (- 3 %) </w:t>
      </w:r>
      <w:r>
        <w:rPr>
          <w:rFonts w:asciiTheme="minorHAnsi" w:hAnsiTheme="minorHAnsi" w:cs="Arial"/>
        </w:rPr>
        <w:t xml:space="preserve">contraste avec la </w:t>
      </w:r>
      <w:r w:rsidR="0003072E">
        <w:rPr>
          <w:rFonts w:asciiTheme="minorHAnsi" w:hAnsiTheme="minorHAnsi" w:cs="Arial"/>
        </w:rPr>
        <w:t xml:space="preserve">progression de 2017 (+6,1 %). Le marché retrouvant en 2018 </w:t>
      </w:r>
      <w:r>
        <w:rPr>
          <w:rFonts w:asciiTheme="minorHAnsi" w:hAnsiTheme="minorHAnsi" w:cs="Arial"/>
        </w:rPr>
        <w:t>le montant total des ventes de 201</w:t>
      </w:r>
      <w:r w:rsidR="0003072E">
        <w:rPr>
          <w:rFonts w:asciiTheme="minorHAnsi" w:hAnsiTheme="minorHAnsi" w:cs="Arial"/>
        </w:rPr>
        <w:t>4</w:t>
      </w:r>
      <w:r>
        <w:rPr>
          <w:rFonts w:asciiTheme="minorHAnsi" w:hAnsiTheme="minorHAnsi" w:cs="Arial"/>
        </w:rPr>
        <w:t xml:space="preserve"> (qui était de </w:t>
      </w:r>
      <w:r w:rsidR="0003072E">
        <w:rPr>
          <w:rFonts w:asciiTheme="minorHAnsi" w:hAnsiTheme="minorHAnsi" w:cs="Arial"/>
        </w:rPr>
        <w:t>27</w:t>
      </w:r>
      <w:r>
        <w:rPr>
          <w:rFonts w:asciiTheme="minorHAnsi" w:hAnsiTheme="minorHAnsi" w:cs="Arial"/>
        </w:rPr>
        <w:t xml:space="preserve"> milliards d’euros).</w:t>
      </w:r>
    </w:p>
    <w:p w:rsidR="00A12C01" w:rsidRDefault="00A12C01" w:rsidP="00B01136">
      <w:pPr>
        <w:jc w:val="both"/>
        <w:rPr>
          <w:rFonts w:asciiTheme="minorHAnsi" w:hAnsiTheme="minorHAnsi" w:cs="Arial"/>
        </w:rPr>
      </w:pPr>
      <w:r>
        <w:rPr>
          <w:rFonts w:asciiTheme="minorHAnsi" w:hAnsiTheme="minorHAnsi" w:cs="Arial"/>
        </w:rPr>
        <w:t xml:space="preserve"> </w:t>
      </w:r>
    </w:p>
    <w:p w:rsidR="00A12C01" w:rsidRDefault="00A12C01" w:rsidP="00A12C01">
      <w:pPr>
        <w:jc w:val="both"/>
        <w:rPr>
          <w:rFonts w:asciiTheme="minorHAnsi" w:hAnsiTheme="minorHAnsi" w:cs="Arial"/>
        </w:rPr>
      </w:pPr>
      <w:r w:rsidRPr="00A12C01">
        <w:rPr>
          <w:rFonts w:asciiTheme="minorHAnsi" w:hAnsiTheme="minorHAnsi" w:cs="Arial"/>
        </w:rPr>
        <w:t>En 201</w:t>
      </w:r>
      <w:r w:rsidR="0003072E">
        <w:rPr>
          <w:rFonts w:asciiTheme="minorHAnsi" w:hAnsiTheme="minorHAnsi" w:cs="Arial"/>
        </w:rPr>
        <w:t>8</w:t>
      </w:r>
      <w:r w:rsidRPr="00A12C01">
        <w:rPr>
          <w:rFonts w:asciiTheme="minorHAnsi" w:hAnsiTheme="minorHAnsi" w:cs="Arial"/>
        </w:rPr>
        <w:t xml:space="preserve">, le classement des 10 premiers pays </w:t>
      </w:r>
      <w:r w:rsidR="0003072E">
        <w:rPr>
          <w:rFonts w:asciiTheme="minorHAnsi" w:hAnsiTheme="minorHAnsi" w:cs="Arial"/>
        </w:rPr>
        <w:t>évolue.</w:t>
      </w:r>
      <w:r w:rsidRPr="00A12C01">
        <w:rPr>
          <w:rFonts w:asciiTheme="minorHAnsi" w:hAnsiTheme="minorHAnsi" w:cs="Arial"/>
        </w:rPr>
        <w:t xml:space="preserve"> La Chine</w:t>
      </w:r>
      <w:r w:rsidR="0003072E">
        <w:rPr>
          <w:rFonts w:asciiTheme="minorHAnsi" w:hAnsiTheme="minorHAnsi" w:cs="Arial"/>
        </w:rPr>
        <w:t xml:space="preserve"> passe en 2eme place</w:t>
      </w:r>
      <w:r w:rsidRPr="00A12C01">
        <w:rPr>
          <w:rFonts w:asciiTheme="minorHAnsi" w:hAnsiTheme="minorHAnsi" w:cs="Arial"/>
        </w:rPr>
        <w:t xml:space="preserve">, </w:t>
      </w:r>
      <w:r w:rsidR="0003072E">
        <w:rPr>
          <w:rFonts w:asciiTheme="minorHAnsi" w:hAnsiTheme="minorHAnsi" w:cs="Arial"/>
        </w:rPr>
        <w:t xml:space="preserve">compte tenu de la baisse de ses montants de ventes conjuguée à une hausse de celles des </w:t>
      </w:r>
      <w:r w:rsidRPr="00A12C01">
        <w:rPr>
          <w:rFonts w:asciiTheme="minorHAnsi" w:hAnsiTheme="minorHAnsi" w:cs="Arial"/>
        </w:rPr>
        <w:t>États-Unis. Comme en 201</w:t>
      </w:r>
      <w:r w:rsidR="0003072E">
        <w:rPr>
          <w:rFonts w:asciiTheme="minorHAnsi" w:hAnsiTheme="minorHAnsi" w:cs="Arial"/>
        </w:rPr>
        <w:t>7</w:t>
      </w:r>
      <w:r w:rsidRPr="00A12C01">
        <w:rPr>
          <w:rFonts w:asciiTheme="minorHAnsi" w:hAnsiTheme="minorHAnsi" w:cs="Arial"/>
        </w:rPr>
        <w:t>, les États-Unis</w:t>
      </w:r>
      <w:r w:rsidR="0003072E" w:rsidRPr="0003072E">
        <w:rPr>
          <w:rFonts w:asciiTheme="minorHAnsi" w:hAnsiTheme="minorHAnsi" w:cs="Arial"/>
        </w:rPr>
        <w:t xml:space="preserve"> la </w:t>
      </w:r>
      <w:proofErr w:type="gramStart"/>
      <w:r w:rsidR="0003072E" w:rsidRPr="0003072E">
        <w:rPr>
          <w:rFonts w:asciiTheme="minorHAnsi" w:hAnsiTheme="minorHAnsi" w:cs="Arial"/>
        </w:rPr>
        <w:t>Chine</w:t>
      </w:r>
      <w:r w:rsidR="0003072E">
        <w:rPr>
          <w:rFonts w:asciiTheme="minorHAnsi" w:hAnsiTheme="minorHAnsi" w:cs="Arial"/>
        </w:rPr>
        <w:t xml:space="preserve"> </w:t>
      </w:r>
      <w:r w:rsidRPr="00A12C01">
        <w:rPr>
          <w:rFonts w:asciiTheme="minorHAnsi" w:hAnsiTheme="minorHAnsi" w:cs="Arial"/>
        </w:rPr>
        <w:t>,</w:t>
      </w:r>
      <w:proofErr w:type="gramEnd"/>
      <w:r w:rsidRPr="00A12C01">
        <w:rPr>
          <w:rFonts w:asciiTheme="minorHAnsi" w:hAnsiTheme="minorHAnsi" w:cs="Arial"/>
        </w:rPr>
        <w:t xml:space="preserve"> les deux premiers acteurs sur le secteur « Art et objets de collection », génèrent à eux seuls plus des deux tiers de l’activité mondiale (</w:t>
      </w:r>
      <w:r w:rsidR="0003072E">
        <w:rPr>
          <w:rFonts w:asciiTheme="minorHAnsi" w:hAnsiTheme="minorHAnsi" w:cs="Arial"/>
        </w:rPr>
        <w:t>68</w:t>
      </w:r>
      <w:r w:rsidRPr="00A12C01">
        <w:rPr>
          <w:rFonts w:asciiTheme="minorHAnsi" w:hAnsiTheme="minorHAnsi" w:cs="Arial"/>
        </w:rPr>
        <w:t>%).</w:t>
      </w:r>
    </w:p>
    <w:p w:rsidR="00243EF2" w:rsidRPr="00A12C01" w:rsidRDefault="00243EF2" w:rsidP="00A12C01">
      <w:pPr>
        <w:jc w:val="both"/>
        <w:rPr>
          <w:rFonts w:asciiTheme="minorHAnsi" w:hAnsiTheme="minorHAnsi" w:cs="Arial"/>
        </w:rPr>
      </w:pPr>
    </w:p>
    <w:p w:rsidR="00A12C01" w:rsidRDefault="00A12C01" w:rsidP="00A12C01">
      <w:pPr>
        <w:jc w:val="both"/>
        <w:rPr>
          <w:rFonts w:asciiTheme="minorHAnsi" w:hAnsiTheme="minorHAnsi" w:cs="Arial"/>
        </w:rPr>
      </w:pPr>
      <w:r w:rsidRPr="00A12C01">
        <w:rPr>
          <w:rFonts w:ascii="Arial" w:hAnsi="Arial" w:cs="Arial"/>
        </w:rPr>
        <w:t>♦</w:t>
      </w:r>
      <w:r w:rsidRPr="00A12C01">
        <w:rPr>
          <w:rFonts w:asciiTheme="minorHAnsi" w:hAnsiTheme="minorHAnsi" w:cs="Arial"/>
        </w:rPr>
        <w:t> </w:t>
      </w:r>
      <w:r w:rsidRPr="00A12C01">
        <w:rPr>
          <w:rFonts w:asciiTheme="minorHAnsi" w:hAnsiTheme="minorHAnsi" w:cs="Arial"/>
        </w:rPr>
        <w:t xml:space="preserve">La </w:t>
      </w:r>
      <w:r w:rsidRPr="00BA2C0E">
        <w:rPr>
          <w:rFonts w:asciiTheme="minorHAnsi" w:hAnsiTheme="minorHAnsi" w:cs="Arial"/>
          <w:b/>
        </w:rPr>
        <w:t>Chine</w:t>
      </w:r>
      <w:r w:rsidR="0003072E">
        <w:rPr>
          <w:rFonts w:asciiTheme="minorHAnsi" w:hAnsiTheme="minorHAnsi" w:cs="Arial"/>
          <w:b/>
        </w:rPr>
        <w:t>, dont le montant des ventes baisse de 12,1 %,</w:t>
      </w:r>
      <w:r w:rsidRPr="00A12C01">
        <w:rPr>
          <w:rFonts w:asciiTheme="minorHAnsi" w:hAnsiTheme="minorHAnsi" w:cs="Arial"/>
        </w:rPr>
        <w:t xml:space="preserve"> voit sa part de marché </w:t>
      </w:r>
      <w:r w:rsidR="0003072E">
        <w:rPr>
          <w:rFonts w:asciiTheme="minorHAnsi" w:hAnsiTheme="minorHAnsi" w:cs="Arial"/>
        </w:rPr>
        <w:t>se rétracter</w:t>
      </w:r>
      <w:r w:rsidRPr="00A12C01">
        <w:rPr>
          <w:rFonts w:asciiTheme="minorHAnsi" w:hAnsiTheme="minorHAnsi" w:cs="Arial"/>
        </w:rPr>
        <w:t xml:space="preserve"> légèrement, de 35,7% en 2017</w:t>
      </w:r>
      <w:r w:rsidR="008E7BC4">
        <w:rPr>
          <w:rFonts w:asciiTheme="minorHAnsi" w:hAnsiTheme="minorHAnsi" w:cs="Arial"/>
        </w:rPr>
        <w:t xml:space="preserve"> </w:t>
      </w:r>
      <w:r w:rsidR="0003072E">
        <w:rPr>
          <w:rFonts w:asciiTheme="minorHAnsi" w:hAnsiTheme="minorHAnsi" w:cs="Arial"/>
        </w:rPr>
        <w:t xml:space="preserve"> à 32 % en 2018 </w:t>
      </w:r>
      <w:r w:rsidR="008E7BC4">
        <w:rPr>
          <w:rFonts w:asciiTheme="minorHAnsi" w:hAnsiTheme="minorHAnsi" w:cs="Arial"/>
        </w:rPr>
        <w:t>(</w:t>
      </w:r>
      <w:r w:rsidR="0003072E">
        <w:rPr>
          <w:rFonts w:asciiTheme="minorHAnsi" w:hAnsiTheme="minorHAnsi" w:cs="Arial"/>
        </w:rPr>
        <w:t>8,75</w:t>
      </w:r>
      <w:r w:rsidRPr="00A12C01">
        <w:rPr>
          <w:rFonts w:asciiTheme="minorHAnsi" w:hAnsiTheme="minorHAnsi" w:cs="Arial"/>
        </w:rPr>
        <w:t xml:space="preserve"> milliards d'euros en 201</w:t>
      </w:r>
      <w:r w:rsidR="0003072E">
        <w:rPr>
          <w:rFonts w:asciiTheme="minorHAnsi" w:hAnsiTheme="minorHAnsi" w:cs="Arial"/>
        </w:rPr>
        <w:t>8</w:t>
      </w:r>
      <w:r w:rsidR="008E7BC4">
        <w:rPr>
          <w:rFonts w:asciiTheme="minorHAnsi" w:hAnsiTheme="minorHAnsi" w:cs="Arial"/>
        </w:rPr>
        <w:t>)</w:t>
      </w:r>
      <w:r w:rsidRPr="00A12C01">
        <w:rPr>
          <w:rFonts w:asciiTheme="minorHAnsi" w:hAnsiTheme="minorHAnsi" w:cs="Arial"/>
        </w:rPr>
        <w:t>.</w:t>
      </w:r>
      <w:r w:rsidR="0003072E">
        <w:rPr>
          <w:rFonts w:asciiTheme="minorHAnsi" w:hAnsiTheme="minorHAnsi" w:cs="Arial"/>
        </w:rPr>
        <w:t xml:space="preserve"> </w:t>
      </w:r>
      <w:r w:rsidRPr="00A12C01">
        <w:rPr>
          <w:rFonts w:asciiTheme="minorHAnsi" w:hAnsiTheme="minorHAnsi" w:cs="Arial"/>
        </w:rPr>
        <w:t xml:space="preserve"> </w:t>
      </w:r>
      <w:r w:rsidR="0003072E">
        <w:rPr>
          <w:rFonts w:asciiTheme="minorHAnsi" w:hAnsiTheme="minorHAnsi" w:cs="Arial"/>
        </w:rPr>
        <w:t>Cette baisse</w:t>
      </w:r>
      <w:r w:rsidRPr="00A12C01">
        <w:rPr>
          <w:rFonts w:asciiTheme="minorHAnsi" w:hAnsiTheme="minorHAnsi" w:cs="Arial"/>
        </w:rPr>
        <w:t xml:space="preserve"> est </w:t>
      </w:r>
      <w:r w:rsidR="0003072E">
        <w:rPr>
          <w:rFonts w:asciiTheme="minorHAnsi" w:hAnsiTheme="minorHAnsi" w:cs="Arial"/>
        </w:rPr>
        <w:t xml:space="preserve">essentiellement due aux ventes des secteurs spécifiques </w:t>
      </w:r>
      <w:r w:rsidRPr="00A12C01">
        <w:rPr>
          <w:rFonts w:asciiTheme="minorHAnsi" w:hAnsiTheme="minorHAnsi" w:cs="Arial"/>
        </w:rPr>
        <w:t>du marché chinois</w:t>
      </w:r>
      <w:r w:rsidR="0003072E">
        <w:rPr>
          <w:rFonts w:asciiTheme="minorHAnsi" w:hAnsiTheme="minorHAnsi" w:cs="Arial"/>
        </w:rPr>
        <w:t xml:space="preserve"> (céramiques et porcelaines</w:t>
      </w:r>
      <w:r w:rsidRPr="00A12C01">
        <w:rPr>
          <w:rFonts w:asciiTheme="minorHAnsi" w:hAnsiTheme="minorHAnsi" w:cs="Arial"/>
        </w:rPr>
        <w:t>,</w:t>
      </w:r>
      <w:r w:rsidR="0003072E">
        <w:rPr>
          <w:rFonts w:asciiTheme="minorHAnsi" w:hAnsiTheme="minorHAnsi" w:cs="Arial"/>
        </w:rPr>
        <w:t xml:space="preserve"> peinture traditionnelle chinoise et calligraphie)</w:t>
      </w:r>
      <w:r w:rsidR="00190152">
        <w:rPr>
          <w:rFonts w:asciiTheme="minorHAnsi" w:hAnsiTheme="minorHAnsi" w:cs="Arial"/>
        </w:rPr>
        <w:t xml:space="preserve">, </w:t>
      </w:r>
      <w:r w:rsidR="0003072E">
        <w:rPr>
          <w:rFonts w:asciiTheme="minorHAnsi" w:hAnsiTheme="minorHAnsi" w:cs="Arial"/>
        </w:rPr>
        <w:t>à une relative pénurie d’offre aux enchères de biens</w:t>
      </w:r>
      <w:r w:rsidRPr="00A12C01">
        <w:rPr>
          <w:rFonts w:asciiTheme="minorHAnsi" w:hAnsiTheme="minorHAnsi" w:cs="Arial"/>
        </w:rPr>
        <w:t xml:space="preserve"> </w:t>
      </w:r>
      <w:r w:rsidR="00190152">
        <w:rPr>
          <w:rFonts w:asciiTheme="minorHAnsi" w:hAnsiTheme="minorHAnsi" w:cs="Arial"/>
        </w:rPr>
        <w:t>de valeur (+ 1 million €) et à un taux d’invendus qui, selon les professionnels, reste élevé.</w:t>
      </w:r>
      <w:r w:rsidRPr="00A12C01">
        <w:rPr>
          <w:rFonts w:asciiTheme="minorHAnsi" w:hAnsiTheme="minorHAnsi" w:cs="Arial"/>
        </w:rPr>
        <w:t xml:space="preserve"> </w:t>
      </w:r>
    </w:p>
    <w:p w:rsidR="00243EF2" w:rsidRPr="00A12C01" w:rsidRDefault="00243EF2" w:rsidP="00A12C01">
      <w:pPr>
        <w:jc w:val="both"/>
        <w:rPr>
          <w:rFonts w:asciiTheme="minorHAnsi" w:hAnsiTheme="minorHAnsi" w:cs="Arial"/>
        </w:rPr>
      </w:pPr>
    </w:p>
    <w:p w:rsidR="00190152" w:rsidRDefault="00A12C01" w:rsidP="00A12C01">
      <w:pPr>
        <w:jc w:val="both"/>
        <w:rPr>
          <w:rFonts w:asciiTheme="minorHAnsi" w:hAnsiTheme="minorHAnsi" w:cs="Arial"/>
        </w:rPr>
      </w:pPr>
      <w:r w:rsidRPr="00A12C01">
        <w:rPr>
          <w:rFonts w:ascii="Arial" w:hAnsi="Arial" w:cs="Arial"/>
        </w:rPr>
        <w:t>♦</w:t>
      </w:r>
      <w:r w:rsidRPr="00A12C01">
        <w:rPr>
          <w:rFonts w:asciiTheme="minorHAnsi" w:hAnsiTheme="minorHAnsi" w:cs="Arial"/>
        </w:rPr>
        <w:t> </w:t>
      </w:r>
      <w:r w:rsidR="00190152">
        <w:rPr>
          <w:rFonts w:asciiTheme="minorHAnsi" w:hAnsiTheme="minorHAnsi" w:cs="Arial"/>
        </w:rPr>
        <w:t>L</w:t>
      </w:r>
      <w:r w:rsidRPr="00A12C01">
        <w:rPr>
          <w:rFonts w:asciiTheme="minorHAnsi" w:hAnsiTheme="minorHAnsi" w:cs="Arial"/>
        </w:rPr>
        <w:t xml:space="preserve">es </w:t>
      </w:r>
      <w:r w:rsidRPr="00BA2C0E">
        <w:rPr>
          <w:rFonts w:asciiTheme="minorHAnsi" w:hAnsiTheme="minorHAnsi" w:cs="Arial"/>
          <w:b/>
        </w:rPr>
        <w:t>États-Unis</w:t>
      </w:r>
      <w:r w:rsidRPr="00A12C01">
        <w:rPr>
          <w:rFonts w:asciiTheme="minorHAnsi" w:hAnsiTheme="minorHAnsi" w:cs="Arial"/>
        </w:rPr>
        <w:t xml:space="preserve"> </w:t>
      </w:r>
      <w:r w:rsidR="00190152">
        <w:rPr>
          <w:rFonts w:asciiTheme="minorHAnsi" w:hAnsiTheme="minorHAnsi" w:cs="Arial"/>
        </w:rPr>
        <w:t xml:space="preserve">qui avaient </w:t>
      </w:r>
      <w:r w:rsidRPr="00A12C01">
        <w:rPr>
          <w:rFonts w:asciiTheme="minorHAnsi" w:hAnsiTheme="minorHAnsi" w:cs="Arial"/>
        </w:rPr>
        <w:t>retrouv</w:t>
      </w:r>
      <w:r w:rsidR="00190152">
        <w:rPr>
          <w:rFonts w:asciiTheme="minorHAnsi" w:hAnsiTheme="minorHAnsi" w:cs="Arial"/>
        </w:rPr>
        <w:t>é</w:t>
      </w:r>
      <w:r w:rsidRPr="00A12C01">
        <w:rPr>
          <w:rFonts w:asciiTheme="minorHAnsi" w:hAnsiTheme="minorHAnsi" w:cs="Arial"/>
        </w:rPr>
        <w:t xml:space="preserve"> la croissance </w:t>
      </w:r>
      <w:r w:rsidR="00190152">
        <w:rPr>
          <w:rFonts w:asciiTheme="minorHAnsi" w:hAnsiTheme="minorHAnsi" w:cs="Arial"/>
        </w:rPr>
        <w:t xml:space="preserve">en 2017 </w:t>
      </w:r>
      <w:r w:rsidRPr="00A12C01">
        <w:rPr>
          <w:rFonts w:asciiTheme="minorHAnsi" w:hAnsiTheme="minorHAnsi" w:cs="Arial"/>
        </w:rPr>
        <w:t xml:space="preserve">et </w:t>
      </w:r>
      <w:r w:rsidR="00190152">
        <w:rPr>
          <w:rFonts w:asciiTheme="minorHAnsi" w:hAnsiTheme="minorHAnsi" w:cs="Arial"/>
        </w:rPr>
        <w:t xml:space="preserve">enregistré </w:t>
      </w:r>
      <w:r w:rsidRPr="00A12C01">
        <w:rPr>
          <w:rFonts w:asciiTheme="minorHAnsi" w:hAnsiTheme="minorHAnsi" w:cs="Arial"/>
        </w:rPr>
        <w:t>la plus forte progression de l’année </w:t>
      </w:r>
      <w:r w:rsidR="00190152">
        <w:rPr>
          <w:rFonts w:asciiTheme="minorHAnsi" w:hAnsiTheme="minorHAnsi" w:cs="Arial"/>
        </w:rPr>
        <w:t xml:space="preserve"> (</w:t>
      </w:r>
      <w:r w:rsidRPr="00A12C01">
        <w:rPr>
          <w:rFonts w:asciiTheme="minorHAnsi" w:hAnsiTheme="minorHAnsi" w:cs="Arial"/>
        </w:rPr>
        <w:t>+10,3%</w:t>
      </w:r>
      <w:r w:rsidR="00190152">
        <w:rPr>
          <w:rFonts w:asciiTheme="minorHAnsi" w:hAnsiTheme="minorHAnsi" w:cs="Arial"/>
        </w:rPr>
        <w:t xml:space="preserve"> en 2017), voient leur montant des ventes de nouveau progresser à un rythme soutenu (+ 5,5 %) et atteindre 9,8 milliards d’euros en 2018.</w:t>
      </w:r>
    </w:p>
    <w:p w:rsidR="00A12C01" w:rsidRDefault="00A12C01" w:rsidP="00A12C01">
      <w:pPr>
        <w:jc w:val="both"/>
        <w:rPr>
          <w:rFonts w:asciiTheme="minorHAnsi" w:hAnsiTheme="minorHAnsi" w:cs="Arial"/>
        </w:rPr>
      </w:pPr>
      <w:r w:rsidRPr="00A12C01">
        <w:rPr>
          <w:rFonts w:asciiTheme="minorHAnsi" w:hAnsiTheme="minorHAnsi" w:cs="Arial"/>
        </w:rPr>
        <w:t>Par conséquent, la part de marché mondial des États-Unis augmente, passant de 3</w:t>
      </w:r>
      <w:r w:rsidR="00190152">
        <w:rPr>
          <w:rFonts w:asciiTheme="minorHAnsi" w:hAnsiTheme="minorHAnsi" w:cs="Arial"/>
        </w:rPr>
        <w:t>3,5</w:t>
      </w:r>
      <w:r w:rsidRPr="00A12C01">
        <w:rPr>
          <w:rFonts w:asciiTheme="minorHAnsi" w:hAnsiTheme="minorHAnsi" w:cs="Arial"/>
        </w:rPr>
        <w:t>% à 3</w:t>
      </w:r>
      <w:r w:rsidR="00190152">
        <w:rPr>
          <w:rFonts w:asciiTheme="minorHAnsi" w:hAnsiTheme="minorHAnsi" w:cs="Arial"/>
        </w:rPr>
        <w:t>6</w:t>
      </w:r>
      <w:r w:rsidRPr="00A12C01">
        <w:rPr>
          <w:rFonts w:asciiTheme="minorHAnsi" w:hAnsiTheme="minorHAnsi" w:cs="Arial"/>
        </w:rPr>
        <w:t>%. Cette croissance est principalement le fait des grands acteurs internationaux, dont les ventes exceptionnelles de « Fine Art » ont eu un fort effet d’entrainement du marché.</w:t>
      </w:r>
    </w:p>
    <w:p w:rsidR="00243EF2" w:rsidRPr="00A12C01" w:rsidRDefault="00243EF2" w:rsidP="00A12C01">
      <w:pPr>
        <w:jc w:val="both"/>
        <w:rPr>
          <w:rFonts w:asciiTheme="minorHAnsi" w:hAnsiTheme="minorHAnsi" w:cs="Arial"/>
        </w:rPr>
      </w:pPr>
    </w:p>
    <w:p w:rsidR="00A12C01" w:rsidRDefault="00A12C01" w:rsidP="00A12C01">
      <w:pPr>
        <w:jc w:val="both"/>
        <w:rPr>
          <w:rFonts w:asciiTheme="minorHAnsi" w:hAnsiTheme="minorHAnsi" w:cs="Arial"/>
        </w:rPr>
      </w:pPr>
      <w:r w:rsidRPr="00A12C01">
        <w:rPr>
          <w:rFonts w:ascii="Arial" w:hAnsi="Arial" w:cs="Arial"/>
        </w:rPr>
        <w:t>♦</w:t>
      </w:r>
      <w:r w:rsidRPr="00A12C01">
        <w:rPr>
          <w:rFonts w:asciiTheme="minorHAnsi" w:hAnsiTheme="minorHAnsi" w:cs="Arial"/>
        </w:rPr>
        <w:t> </w:t>
      </w:r>
      <w:r w:rsidR="00190152">
        <w:rPr>
          <w:rFonts w:asciiTheme="minorHAnsi" w:hAnsiTheme="minorHAnsi" w:cs="Arial"/>
        </w:rPr>
        <w:t>L</w:t>
      </w:r>
      <w:r w:rsidRPr="00A12C01">
        <w:rPr>
          <w:rFonts w:asciiTheme="minorHAnsi" w:hAnsiTheme="minorHAnsi" w:cs="Arial"/>
        </w:rPr>
        <w:t xml:space="preserve">e marché en </w:t>
      </w:r>
      <w:r w:rsidRPr="00BA2C0E">
        <w:rPr>
          <w:rFonts w:asciiTheme="minorHAnsi" w:hAnsiTheme="minorHAnsi" w:cs="Arial"/>
          <w:b/>
        </w:rPr>
        <w:t>Europe</w:t>
      </w:r>
      <w:r w:rsidRPr="00A12C01">
        <w:rPr>
          <w:rFonts w:asciiTheme="minorHAnsi" w:hAnsiTheme="minorHAnsi" w:cs="Arial"/>
        </w:rPr>
        <w:t xml:space="preserve"> </w:t>
      </w:r>
      <w:r w:rsidR="00190152">
        <w:rPr>
          <w:rFonts w:asciiTheme="minorHAnsi" w:hAnsiTheme="minorHAnsi" w:cs="Arial"/>
        </w:rPr>
        <w:t>progresse de 3,6 %</w:t>
      </w:r>
      <w:r w:rsidRPr="00A12C01">
        <w:rPr>
          <w:rFonts w:asciiTheme="minorHAnsi" w:hAnsiTheme="minorHAnsi" w:cs="Arial"/>
        </w:rPr>
        <w:t xml:space="preserve">, </w:t>
      </w:r>
      <w:r w:rsidR="00190152">
        <w:rPr>
          <w:rFonts w:asciiTheme="minorHAnsi" w:hAnsiTheme="minorHAnsi" w:cs="Arial"/>
        </w:rPr>
        <w:t>cette évolution masquant</w:t>
      </w:r>
      <w:r w:rsidRPr="00A12C01">
        <w:rPr>
          <w:rFonts w:asciiTheme="minorHAnsi" w:hAnsiTheme="minorHAnsi" w:cs="Arial"/>
        </w:rPr>
        <w:t xml:space="preserve"> des évolutions divergentes. Certains pays connaissent une hausse significative de leurs ventes : c’est le cas</w:t>
      </w:r>
      <w:r w:rsidR="00190152">
        <w:rPr>
          <w:rFonts w:asciiTheme="minorHAnsi" w:hAnsiTheme="minorHAnsi" w:cs="Arial"/>
        </w:rPr>
        <w:t xml:space="preserve"> du Royaume-Uni (+6,6 %, </w:t>
      </w:r>
      <w:r w:rsidRPr="00A12C01">
        <w:rPr>
          <w:rFonts w:asciiTheme="minorHAnsi" w:hAnsiTheme="minorHAnsi" w:cs="Arial"/>
        </w:rPr>
        <w:t xml:space="preserve">passant de </w:t>
      </w:r>
      <w:r w:rsidR="00190152">
        <w:rPr>
          <w:rFonts w:asciiTheme="minorHAnsi" w:hAnsiTheme="minorHAnsi" w:cs="Arial"/>
        </w:rPr>
        <w:t>3,2</w:t>
      </w:r>
      <w:r w:rsidRPr="00A12C01">
        <w:rPr>
          <w:rFonts w:asciiTheme="minorHAnsi" w:hAnsiTheme="minorHAnsi" w:cs="Arial"/>
        </w:rPr>
        <w:t xml:space="preserve"> milliard</w:t>
      </w:r>
      <w:r w:rsidR="00190152">
        <w:rPr>
          <w:rFonts w:asciiTheme="minorHAnsi" w:hAnsiTheme="minorHAnsi" w:cs="Arial"/>
        </w:rPr>
        <w:t>s</w:t>
      </w:r>
      <w:r w:rsidRPr="00A12C01">
        <w:rPr>
          <w:rFonts w:asciiTheme="minorHAnsi" w:hAnsiTheme="minorHAnsi" w:cs="Arial"/>
        </w:rPr>
        <w:t xml:space="preserve"> d’euros en 201</w:t>
      </w:r>
      <w:r w:rsidR="00190152">
        <w:rPr>
          <w:rFonts w:asciiTheme="minorHAnsi" w:hAnsiTheme="minorHAnsi" w:cs="Arial"/>
        </w:rPr>
        <w:t>7</w:t>
      </w:r>
      <w:r w:rsidRPr="00A12C01">
        <w:rPr>
          <w:rFonts w:asciiTheme="minorHAnsi" w:hAnsiTheme="minorHAnsi" w:cs="Arial"/>
        </w:rPr>
        <w:t xml:space="preserve"> à </w:t>
      </w:r>
      <w:r w:rsidR="00190152">
        <w:rPr>
          <w:rFonts w:asciiTheme="minorHAnsi" w:hAnsiTheme="minorHAnsi" w:cs="Arial"/>
        </w:rPr>
        <w:t>3,4</w:t>
      </w:r>
      <w:r w:rsidRPr="00A12C01">
        <w:rPr>
          <w:rFonts w:asciiTheme="minorHAnsi" w:hAnsiTheme="minorHAnsi" w:cs="Arial"/>
        </w:rPr>
        <w:t xml:space="preserve"> milliard</w:t>
      </w:r>
      <w:r w:rsidR="00190152">
        <w:rPr>
          <w:rFonts w:asciiTheme="minorHAnsi" w:hAnsiTheme="minorHAnsi" w:cs="Arial"/>
        </w:rPr>
        <w:t>s</w:t>
      </w:r>
      <w:r w:rsidRPr="00A12C01">
        <w:rPr>
          <w:rFonts w:asciiTheme="minorHAnsi" w:hAnsiTheme="minorHAnsi" w:cs="Arial"/>
        </w:rPr>
        <w:t xml:space="preserve"> d’euros en 201</w:t>
      </w:r>
      <w:r w:rsidR="00190152">
        <w:rPr>
          <w:rFonts w:asciiTheme="minorHAnsi" w:hAnsiTheme="minorHAnsi" w:cs="Arial"/>
        </w:rPr>
        <w:t>8</w:t>
      </w:r>
      <w:r w:rsidRPr="00A12C01">
        <w:rPr>
          <w:rFonts w:asciiTheme="minorHAnsi" w:hAnsiTheme="minorHAnsi" w:cs="Arial"/>
        </w:rPr>
        <w:t>),</w:t>
      </w:r>
      <w:r w:rsidR="00190152">
        <w:rPr>
          <w:rFonts w:asciiTheme="minorHAnsi" w:hAnsiTheme="minorHAnsi" w:cs="Arial"/>
        </w:rPr>
        <w:t xml:space="preserve"> mais aussi de l’Allemagne (+4,9 %) et de l’Autriche (+ 35 %)</w:t>
      </w:r>
      <w:r w:rsidRPr="00A12C01">
        <w:rPr>
          <w:rFonts w:asciiTheme="minorHAnsi" w:hAnsiTheme="minorHAnsi" w:cs="Arial"/>
        </w:rPr>
        <w:t xml:space="preserve">. </w:t>
      </w:r>
      <w:r w:rsidR="00C26A85">
        <w:rPr>
          <w:rFonts w:asciiTheme="minorHAnsi" w:hAnsiTheme="minorHAnsi" w:cs="Arial"/>
        </w:rPr>
        <w:t xml:space="preserve">La France (-4,1 %), et </w:t>
      </w:r>
      <w:r w:rsidRPr="00A12C01">
        <w:rPr>
          <w:rFonts w:asciiTheme="minorHAnsi" w:hAnsiTheme="minorHAnsi" w:cs="Arial"/>
        </w:rPr>
        <w:t>la Suisse (-</w:t>
      </w:r>
      <w:r w:rsidR="00C26A85">
        <w:rPr>
          <w:rFonts w:asciiTheme="minorHAnsi" w:hAnsiTheme="minorHAnsi" w:cs="Arial"/>
        </w:rPr>
        <w:t>8,4</w:t>
      </w:r>
      <w:r w:rsidRPr="00A12C01">
        <w:rPr>
          <w:rFonts w:asciiTheme="minorHAnsi" w:hAnsiTheme="minorHAnsi" w:cs="Arial"/>
        </w:rPr>
        <w:t>%) connaissent une année de recul de leurs ventes</w:t>
      </w:r>
      <w:r w:rsidR="00C26A85">
        <w:rPr>
          <w:rFonts w:asciiTheme="minorHAnsi" w:hAnsiTheme="minorHAnsi" w:cs="Arial"/>
        </w:rPr>
        <w:t xml:space="preserve">. </w:t>
      </w:r>
    </w:p>
    <w:p w:rsidR="000A512C" w:rsidRDefault="000A512C" w:rsidP="00A12C01">
      <w:pPr>
        <w:jc w:val="both"/>
        <w:rPr>
          <w:rFonts w:asciiTheme="minorHAnsi" w:hAnsiTheme="minorHAnsi" w:cs="Arial"/>
        </w:rPr>
      </w:pPr>
    </w:p>
    <w:p w:rsidR="000A512C" w:rsidRPr="000A512C" w:rsidRDefault="000A512C" w:rsidP="000A512C">
      <w:pPr>
        <w:jc w:val="both"/>
        <w:rPr>
          <w:rFonts w:asciiTheme="minorHAnsi" w:hAnsiTheme="minorHAnsi" w:cs="Arial"/>
        </w:rPr>
      </w:pPr>
      <w:r w:rsidRPr="000A512C">
        <w:rPr>
          <w:rFonts w:asciiTheme="minorHAnsi" w:hAnsiTheme="minorHAnsi" w:cs="Arial"/>
        </w:rPr>
        <w:t xml:space="preserve">La concentration du montant de ventes entre les mains de quelques acteurs dominant se </w:t>
      </w:r>
      <w:r w:rsidR="00C26A85">
        <w:rPr>
          <w:rFonts w:asciiTheme="minorHAnsi" w:hAnsiTheme="minorHAnsi" w:cs="Arial"/>
        </w:rPr>
        <w:t>vérifie toujours en 2018</w:t>
      </w:r>
      <w:r w:rsidRPr="000A512C">
        <w:rPr>
          <w:rFonts w:asciiTheme="minorHAnsi" w:hAnsiTheme="minorHAnsi" w:cs="Arial"/>
        </w:rPr>
        <w:t>. Avec près de 1</w:t>
      </w:r>
      <w:r w:rsidR="00C26A85">
        <w:rPr>
          <w:rFonts w:asciiTheme="minorHAnsi" w:hAnsiTheme="minorHAnsi" w:cs="Arial"/>
        </w:rPr>
        <w:t>4,</w:t>
      </w:r>
      <w:r w:rsidRPr="000A512C">
        <w:rPr>
          <w:rFonts w:asciiTheme="minorHAnsi" w:hAnsiTheme="minorHAnsi" w:cs="Arial"/>
        </w:rPr>
        <w:t>5 milliards d’euros d'adjudications cumulées, les 10 premières maisons de ventes concentrent 5</w:t>
      </w:r>
      <w:r w:rsidR="00C26A85">
        <w:rPr>
          <w:rFonts w:asciiTheme="minorHAnsi" w:hAnsiTheme="minorHAnsi" w:cs="Arial"/>
        </w:rPr>
        <w:t>4</w:t>
      </w:r>
      <w:r w:rsidRPr="000A512C">
        <w:rPr>
          <w:rFonts w:asciiTheme="minorHAnsi" w:hAnsiTheme="minorHAnsi" w:cs="Arial"/>
        </w:rPr>
        <w:t>% du montant total des ventes dans le monde, contre 5</w:t>
      </w:r>
      <w:r w:rsidR="00C26A85">
        <w:rPr>
          <w:rFonts w:asciiTheme="minorHAnsi" w:hAnsiTheme="minorHAnsi" w:cs="Arial"/>
        </w:rPr>
        <w:t xml:space="preserve">3 </w:t>
      </w:r>
      <w:r w:rsidRPr="000A512C">
        <w:rPr>
          <w:rFonts w:asciiTheme="minorHAnsi" w:hAnsiTheme="minorHAnsi" w:cs="Arial"/>
        </w:rPr>
        <w:t>% en 201</w:t>
      </w:r>
      <w:r w:rsidR="00C26A85">
        <w:rPr>
          <w:rFonts w:asciiTheme="minorHAnsi" w:hAnsiTheme="minorHAnsi" w:cs="Arial"/>
        </w:rPr>
        <w:t>7</w:t>
      </w:r>
      <w:r w:rsidRPr="000A512C">
        <w:rPr>
          <w:rFonts w:asciiTheme="minorHAnsi" w:hAnsiTheme="minorHAnsi" w:cs="Arial"/>
        </w:rPr>
        <w:t xml:space="preserve">. </w:t>
      </w:r>
      <w:r w:rsidR="008E7BC4">
        <w:rPr>
          <w:rFonts w:asciiTheme="minorHAnsi" w:hAnsiTheme="minorHAnsi" w:cs="Arial"/>
        </w:rPr>
        <w:t>La concentration en France (</w:t>
      </w:r>
      <w:r w:rsidRPr="000A512C">
        <w:rPr>
          <w:rFonts w:asciiTheme="minorHAnsi" w:hAnsiTheme="minorHAnsi" w:cs="Arial"/>
        </w:rPr>
        <w:t>les 10 premiers concentrent 5</w:t>
      </w:r>
      <w:r w:rsidR="00C26A85">
        <w:rPr>
          <w:rFonts w:asciiTheme="minorHAnsi" w:hAnsiTheme="minorHAnsi" w:cs="Arial"/>
        </w:rPr>
        <w:t>1</w:t>
      </w:r>
      <w:r w:rsidRPr="000A512C">
        <w:rPr>
          <w:rFonts w:asciiTheme="minorHAnsi" w:hAnsiTheme="minorHAnsi" w:cs="Arial"/>
        </w:rPr>
        <w:t>% du montant des ventes</w:t>
      </w:r>
      <w:r w:rsidR="008E7BC4">
        <w:rPr>
          <w:rFonts w:asciiTheme="minorHAnsi" w:hAnsiTheme="minorHAnsi" w:cs="Arial"/>
        </w:rPr>
        <w:t>)</w:t>
      </w:r>
      <w:r w:rsidRPr="000A512C">
        <w:rPr>
          <w:rFonts w:asciiTheme="minorHAnsi" w:hAnsiTheme="minorHAnsi" w:cs="Arial"/>
        </w:rPr>
        <w:t xml:space="preserve"> est conforme à la moyenne mondiale</w:t>
      </w:r>
      <w:r w:rsidR="008E7BC4">
        <w:rPr>
          <w:rFonts w:asciiTheme="minorHAnsi" w:hAnsiTheme="minorHAnsi" w:cs="Arial"/>
        </w:rPr>
        <w:t>.</w:t>
      </w:r>
      <w:r w:rsidRPr="000A512C">
        <w:rPr>
          <w:rFonts w:asciiTheme="minorHAnsi" w:hAnsiTheme="minorHAnsi" w:cs="Arial"/>
        </w:rPr>
        <w:t xml:space="preserve">   </w:t>
      </w:r>
    </w:p>
    <w:p w:rsidR="000A512C" w:rsidRDefault="000A512C" w:rsidP="00A12C01">
      <w:pPr>
        <w:jc w:val="both"/>
        <w:rPr>
          <w:rFonts w:asciiTheme="minorHAnsi" w:hAnsiTheme="minorHAnsi" w:cs="Arial"/>
        </w:rPr>
      </w:pPr>
    </w:p>
    <w:p w:rsidR="00310856" w:rsidRDefault="00C26A85" w:rsidP="00310856">
      <w:pPr>
        <w:jc w:val="both"/>
        <w:rPr>
          <w:rFonts w:asciiTheme="minorHAnsi" w:hAnsiTheme="minorHAnsi" w:cs="Arial"/>
        </w:rPr>
      </w:pPr>
      <w:r>
        <w:rPr>
          <w:rFonts w:asciiTheme="minorHAnsi" w:hAnsiTheme="minorHAnsi" w:cs="Arial"/>
        </w:rPr>
        <w:lastRenderedPageBreak/>
        <w:t xml:space="preserve">Christie’s et Sotheby’s </w:t>
      </w:r>
      <w:r w:rsidR="00310856" w:rsidRPr="00310856">
        <w:rPr>
          <w:rFonts w:asciiTheme="minorHAnsi" w:hAnsiTheme="minorHAnsi" w:cs="Arial"/>
        </w:rPr>
        <w:t>Avec 9,</w:t>
      </w:r>
      <w:r>
        <w:rPr>
          <w:rFonts w:asciiTheme="minorHAnsi" w:hAnsiTheme="minorHAnsi" w:cs="Arial"/>
        </w:rPr>
        <w:t>7</w:t>
      </w:r>
      <w:r w:rsidR="00310856" w:rsidRPr="00310856">
        <w:rPr>
          <w:rFonts w:asciiTheme="minorHAnsi" w:hAnsiTheme="minorHAnsi" w:cs="Arial"/>
        </w:rPr>
        <w:t xml:space="preserve"> milliards d'euros de produits de ventes cumulés, les deux sociétés réalisent </w:t>
      </w:r>
      <w:r w:rsidR="00310856">
        <w:rPr>
          <w:rFonts w:asciiTheme="minorHAnsi" w:hAnsiTheme="minorHAnsi" w:cs="Arial"/>
        </w:rPr>
        <w:t>3</w:t>
      </w:r>
      <w:r>
        <w:rPr>
          <w:rFonts w:asciiTheme="minorHAnsi" w:hAnsiTheme="minorHAnsi" w:cs="Arial"/>
        </w:rPr>
        <w:t>6</w:t>
      </w:r>
      <w:r w:rsidR="00310856">
        <w:rPr>
          <w:rFonts w:asciiTheme="minorHAnsi" w:hAnsiTheme="minorHAnsi" w:cs="Arial"/>
        </w:rPr>
        <w:t xml:space="preserve"> % </w:t>
      </w:r>
      <w:r w:rsidR="00310856" w:rsidRPr="00310856">
        <w:rPr>
          <w:rFonts w:asciiTheme="minorHAnsi" w:hAnsiTheme="minorHAnsi" w:cs="Arial"/>
        </w:rPr>
        <w:t xml:space="preserve"> du montant total </w:t>
      </w:r>
      <w:r w:rsidR="00310856">
        <w:rPr>
          <w:rFonts w:asciiTheme="minorHAnsi" w:hAnsiTheme="minorHAnsi" w:cs="Arial"/>
        </w:rPr>
        <w:t xml:space="preserve">mondial des ventes (en progression de </w:t>
      </w:r>
      <w:r>
        <w:rPr>
          <w:rFonts w:asciiTheme="minorHAnsi" w:hAnsiTheme="minorHAnsi" w:cs="Arial"/>
        </w:rPr>
        <w:t>2</w:t>
      </w:r>
      <w:r w:rsidR="00310856">
        <w:rPr>
          <w:rFonts w:asciiTheme="minorHAnsi" w:hAnsiTheme="minorHAnsi" w:cs="Arial"/>
        </w:rPr>
        <w:t xml:space="preserve"> points par rapport à 201</w:t>
      </w:r>
      <w:r>
        <w:rPr>
          <w:rFonts w:asciiTheme="minorHAnsi" w:hAnsiTheme="minorHAnsi" w:cs="Arial"/>
        </w:rPr>
        <w:t>7</w:t>
      </w:r>
      <w:r w:rsidR="00310856">
        <w:rPr>
          <w:rFonts w:asciiTheme="minorHAnsi" w:hAnsiTheme="minorHAnsi" w:cs="Arial"/>
        </w:rPr>
        <w:t>).</w:t>
      </w:r>
    </w:p>
    <w:p w:rsidR="00310856" w:rsidRPr="00310856" w:rsidRDefault="00310856" w:rsidP="00310856">
      <w:pPr>
        <w:jc w:val="both"/>
        <w:rPr>
          <w:rFonts w:asciiTheme="minorHAnsi" w:hAnsiTheme="minorHAnsi" w:cs="Arial"/>
        </w:rPr>
      </w:pPr>
      <w:r w:rsidRPr="00310856">
        <w:rPr>
          <w:rFonts w:asciiTheme="minorHAnsi" w:hAnsiTheme="minorHAnsi" w:cs="Arial"/>
        </w:rPr>
        <w:t xml:space="preserve"> </w:t>
      </w:r>
    </w:p>
    <w:p w:rsidR="00310856" w:rsidRPr="00310856" w:rsidRDefault="00310856" w:rsidP="00310856">
      <w:pPr>
        <w:jc w:val="both"/>
        <w:rPr>
          <w:rFonts w:asciiTheme="minorHAnsi" w:hAnsiTheme="minorHAnsi" w:cs="Arial"/>
        </w:rPr>
      </w:pPr>
      <w:r w:rsidRPr="00310856">
        <w:rPr>
          <w:rFonts w:asciiTheme="minorHAnsi" w:hAnsiTheme="minorHAnsi" w:cs="Arial"/>
        </w:rPr>
        <w:t xml:space="preserve">Christie's </w:t>
      </w:r>
      <w:r w:rsidR="00C26A85">
        <w:rPr>
          <w:rFonts w:asciiTheme="minorHAnsi" w:hAnsiTheme="minorHAnsi" w:cs="Arial"/>
        </w:rPr>
        <w:t>reste le leader mondial avec 5,3</w:t>
      </w:r>
      <w:r w:rsidRPr="00310856">
        <w:rPr>
          <w:rFonts w:asciiTheme="minorHAnsi" w:hAnsiTheme="minorHAnsi" w:cs="Arial"/>
        </w:rPr>
        <w:t xml:space="preserve"> milliard</w:t>
      </w:r>
      <w:r w:rsidR="00C26A85">
        <w:rPr>
          <w:rFonts w:asciiTheme="minorHAnsi" w:hAnsiTheme="minorHAnsi" w:cs="Arial"/>
        </w:rPr>
        <w:t>s</w:t>
      </w:r>
      <w:r w:rsidRPr="00310856">
        <w:rPr>
          <w:rFonts w:asciiTheme="minorHAnsi" w:hAnsiTheme="minorHAnsi" w:cs="Arial"/>
        </w:rPr>
        <w:t xml:space="preserve"> d’euros de ventes </w:t>
      </w:r>
      <w:r w:rsidR="00C26A85">
        <w:rPr>
          <w:rFonts w:asciiTheme="minorHAnsi" w:hAnsiTheme="minorHAnsi" w:cs="Arial"/>
        </w:rPr>
        <w:t xml:space="preserve">aux enchères publiques </w:t>
      </w:r>
      <w:r w:rsidRPr="00310856">
        <w:rPr>
          <w:rFonts w:asciiTheme="minorHAnsi" w:hAnsiTheme="minorHAnsi" w:cs="Arial"/>
        </w:rPr>
        <w:t>en 201</w:t>
      </w:r>
      <w:r w:rsidR="00C26A85">
        <w:rPr>
          <w:rFonts w:asciiTheme="minorHAnsi" w:hAnsiTheme="minorHAnsi" w:cs="Arial"/>
        </w:rPr>
        <w:t>8</w:t>
      </w:r>
      <w:r w:rsidRPr="00310856">
        <w:rPr>
          <w:rFonts w:asciiTheme="minorHAnsi" w:hAnsiTheme="minorHAnsi" w:cs="Arial"/>
        </w:rPr>
        <w:t xml:space="preserve"> contre 4,</w:t>
      </w:r>
      <w:r w:rsidR="00C26A85">
        <w:rPr>
          <w:rFonts w:asciiTheme="minorHAnsi" w:hAnsiTheme="minorHAnsi" w:cs="Arial"/>
        </w:rPr>
        <w:t>4</w:t>
      </w:r>
      <w:r w:rsidRPr="00310856">
        <w:rPr>
          <w:rFonts w:asciiTheme="minorHAnsi" w:hAnsiTheme="minorHAnsi" w:cs="Arial"/>
        </w:rPr>
        <w:t xml:space="preserve"> milliards pour Sotheby’s. </w:t>
      </w:r>
      <w:r w:rsidR="00C26A85">
        <w:rPr>
          <w:rFonts w:asciiTheme="minorHAnsi" w:hAnsiTheme="minorHAnsi" w:cs="Arial"/>
        </w:rPr>
        <w:t>En 2018, l</w:t>
      </w:r>
      <w:r w:rsidRPr="00310856">
        <w:rPr>
          <w:rFonts w:asciiTheme="minorHAnsi" w:hAnsiTheme="minorHAnsi" w:cs="Arial"/>
        </w:rPr>
        <w:t xml:space="preserve">’augmentation du montant de ventes de l’opérateur </w:t>
      </w:r>
      <w:r w:rsidR="00C26A85">
        <w:rPr>
          <w:rFonts w:asciiTheme="minorHAnsi" w:hAnsiTheme="minorHAnsi" w:cs="Arial"/>
        </w:rPr>
        <w:t xml:space="preserve">américain </w:t>
      </w:r>
      <w:r w:rsidRPr="00310856">
        <w:rPr>
          <w:rFonts w:asciiTheme="minorHAnsi" w:hAnsiTheme="minorHAnsi" w:cs="Arial"/>
        </w:rPr>
        <w:t>est plus importante que celle de sa concurrente : +</w:t>
      </w:r>
      <w:r w:rsidR="00C26A85">
        <w:rPr>
          <w:rFonts w:asciiTheme="minorHAnsi" w:hAnsiTheme="minorHAnsi" w:cs="Arial"/>
        </w:rPr>
        <w:t xml:space="preserve">6 </w:t>
      </w:r>
      <w:r w:rsidRPr="00310856">
        <w:rPr>
          <w:rFonts w:asciiTheme="minorHAnsi" w:hAnsiTheme="minorHAnsi" w:cs="Arial"/>
        </w:rPr>
        <w:t>% contre +1%</w:t>
      </w:r>
      <w:r w:rsidR="00C26A85">
        <w:rPr>
          <w:rFonts w:asciiTheme="minorHAnsi" w:hAnsiTheme="minorHAnsi" w:cs="Arial"/>
        </w:rPr>
        <w:t xml:space="preserve"> (pour Christie’s).</w:t>
      </w:r>
    </w:p>
    <w:p w:rsidR="00310856" w:rsidRDefault="00310856" w:rsidP="004C7F57">
      <w:pPr>
        <w:jc w:val="both"/>
        <w:rPr>
          <w:rFonts w:asciiTheme="minorHAnsi" w:hAnsiTheme="minorHAnsi" w:cs="Arial"/>
        </w:rPr>
      </w:pPr>
    </w:p>
    <w:p w:rsidR="00C26A85" w:rsidRDefault="004C7F57" w:rsidP="004C7F57">
      <w:pPr>
        <w:jc w:val="both"/>
        <w:rPr>
          <w:rFonts w:asciiTheme="minorHAnsi" w:hAnsiTheme="minorHAnsi" w:cs="Arial"/>
        </w:rPr>
      </w:pPr>
      <w:r w:rsidRPr="004C7F57">
        <w:rPr>
          <w:rFonts w:asciiTheme="minorHAnsi" w:hAnsiTheme="minorHAnsi" w:cs="Arial"/>
        </w:rPr>
        <w:t xml:space="preserve">L’accentuation de la concentration du marché s'inscrit </w:t>
      </w:r>
      <w:r w:rsidR="00C26A85">
        <w:rPr>
          <w:rFonts w:asciiTheme="minorHAnsi" w:hAnsiTheme="minorHAnsi" w:cs="Arial"/>
        </w:rPr>
        <w:t xml:space="preserve">toujours </w:t>
      </w:r>
      <w:r w:rsidRPr="004C7F57">
        <w:rPr>
          <w:rFonts w:asciiTheme="minorHAnsi" w:hAnsiTheme="minorHAnsi" w:cs="Arial"/>
        </w:rPr>
        <w:t xml:space="preserve">dans un contexte </w:t>
      </w:r>
      <w:r w:rsidR="00C26A85">
        <w:rPr>
          <w:rFonts w:asciiTheme="minorHAnsi" w:hAnsiTheme="minorHAnsi" w:cs="Arial"/>
        </w:rPr>
        <w:t>où l</w:t>
      </w:r>
      <w:r w:rsidRPr="004C7F57">
        <w:rPr>
          <w:rFonts w:asciiTheme="minorHAnsi" w:hAnsiTheme="minorHAnsi" w:cs="Arial"/>
        </w:rPr>
        <w:t>es ventes du segment du très haut de gamme dans le secteur « Fine Art »</w:t>
      </w:r>
      <w:r w:rsidR="00C26A85">
        <w:rPr>
          <w:rFonts w:asciiTheme="minorHAnsi" w:hAnsiTheme="minorHAnsi" w:cs="Arial"/>
        </w:rPr>
        <w:t xml:space="preserve"> (</w:t>
      </w:r>
      <w:proofErr w:type="spellStart"/>
      <w:r w:rsidR="00C26A85">
        <w:rPr>
          <w:rFonts w:asciiTheme="minorHAnsi" w:hAnsiTheme="minorHAnsi" w:cs="Arial"/>
        </w:rPr>
        <w:t>oeuvres</w:t>
      </w:r>
      <w:proofErr w:type="spellEnd"/>
      <w:r w:rsidR="00C26A85">
        <w:rPr>
          <w:rFonts w:asciiTheme="minorHAnsi" w:hAnsiTheme="minorHAnsi" w:cs="Arial"/>
        </w:rPr>
        <w:t xml:space="preserve"> de plus de 10 millions d’euros), jouent un rôle déterminant. Si le nombre de ces œuvres adjugées en 2018 (136) est très proche de celui de 2017 </w:t>
      </w:r>
      <w:proofErr w:type="gramStart"/>
      <w:r w:rsidR="00C26A85">
        <w:rPr>
          <w:rFonts w:asciiTheme="minorHAnsi" w:hAnsiTheme="minorHAnsi" w:cs="Arial"/>
        </w:rPr>
        <w:t>(</w:t>
      </w:r>
      <w:r w:rsidRPr="004C7F57">
        <w:rPr>
          <w:rFonts w:asciiTheme="minorHAnsi" w:hAnsiTheme="minorHAnsi" w:cs="Arial"/>
        </w:rPr>
        <w:t xml:space="preserve"> 133</w:t>
      </w:r>
      <w:proofErr w:type="gramEnd"/>
      <w:r w:rsidRPr="004C7F57">
        <w:rPr>
          <w:rFonts w:asciiTheme="minorHAnsi" w:hAnsiTheme="minorHAnsi" w:cs="Arial"/>
        </w:rPr>
        <w:t xml:space="preserve"> œuvres</w:t>
      </w:r>
      <w:r w:rsidR="00C26A85">
        <w:rPr>
          <w:rFonts w:asciiTheme="minorHAnsi" w:hAnsiTheme="minorHAnsi" w:cs="Arial"/>
        </w:rPr>
        <w:t xml:space="preserve">), leur montant de ventes est néanmoins en retrait en 2018 (3,1 milliards d’euros contre 3,4 milliards d’euros en 2017). </w:t>
      </w:r>
    </w:p>
    <w:p w:rsidR="00C26A85" w:rsidRDefault="00C26A85" w:rsidP="004C7F57">
      <w:pPr>
        <w:jc w:val="both"/>
        <w:rPr>
          <w:rFonts w:asciiTheme="minorHAnsi" w:hAnsiTheme="minorHAnsi" w:cs="Arial"/>
        </w:rPr>
      </w:pPr>
      <w:r>
        <w:rPr>
          <w:rFonts w:asciiTheme="minorHAnsi" w:hAnsiTheme="minorHAnsi" w:cs="Arial"/>
        </w:rPr>
        <w:t>Ces ventes représentent 12 % du montant total mondial des ventes aux enchères d’art.</w:t>
      </w:r>
    </w:p>
    <w:p w:rsidR="00C26A85" w:rsidRDefault="00C26A85" w:rsidP="004C7F57">
      <w:pPr>
        <w:jc w:val="both"/>
        <w:rPr>
          <w:rFonts w:asciiTheme="minorHAnsi" w:hAnsiTheme="minorHAnsi" w:cs="Arial"/>
        </w:rPr>
      </w:pPr>
    </w:p>
    <w:p w:rsidR="004C7F57" w:rsidRDefault="004C7F57" w:rsidP="00A12C01">
      <w:pPr>
        <w:jc w:val="both"/>
        <w:rPr>
          <w:rFonts w:asciiTheme="minorHAnsi" w:hAnsiTheme="minorHAnsi" w:cs="Arial"/>
        </w:rPr>
      </w:pPr>
    </w:p>
    <w:p w:rsidR="00A12C01" w:rsidRPr="006B0240" w:rsidRDefault="00A12C01" w:rsidP="00B01136">
      <w:pPr>
        <w:jc w:val="both"/>
        <w:rPr>
          <w:rFonts w:asciiTheme="minorHAnsi" w:hAnsiTheme="minorHAnsi" w:cs="Arial"/>
        </w:rPr>
      </w:pPr>
    </w:p>
    <w:p w:rsidR="00B01136" w:rsidRPr="006B0240" w:rsidRDefault="00B01136" w:rsidP="00B01136">
      <w:pPr>
        <w:jc w:val="both"/>
        <w:rPr>
          <w:rFonts w:asciiTheme="minorHAnsi" w:hAnsiTheme="minorHAnsi" w:cs="Arial"/>
          <w:i/>
          <w:sz w:val="22"/>
          <w:szCs w:val="22"/>
        </w:rPr>
      </w:pPr>
      <w:r w:rsidRPr="006B0240">
        <w:rPr>
          <w:rFonts w:asciiTheme="minorHAnsi" w:hAnsiTheme="minorHAnsi" w:cs="Arial"/>
          <w:i/>
          <w:sz w:val="22"/>
          <w:szCs w:val="22"/>
        </w:rPr>
        <w:t xml:space="preserve">Comme chaque année et conformément aux obligations que la loi de 2000 lui impose, le Conseil des ventes volontaires de meubles aux enchères publiques publiera au mois de juin son rapport annuel d’activité. Ce rapport traite à la fois de l’action du Conseil au cours de l’année écoulée, des problématiques juridiques ou économiques qu’il a eu à traiter et des perspectives pour l’année suivante. Le rapport annuel comporte également un bilan économique de l’activité des enchères volontaires en France, qui replace le marché français dans l’environnement international. </w:t>
      </w:r>
    </w:p>
    <w:p w:rsidR="003D0E51" w:rsidRDefault="003D0E51" w:rsidP="003D0E51">
      <w:pPr>
        <w:pStyle w:val="Textebrut"/>
        <w:rPr>
          <w:rFonts w:asciiTheme="minorHAnsi" w:hAnsiTheme="minorHAnsi"/>
          <w:b/>
          <w:color w:val="1F497D"/>
          <w:sz w:val="24"/>
          <w:szCs w:val="24"/>
        </w:rPr>
      </w:pPr>
    </w:p>
    <w:p w:rsidR="004C7F57" w:rsidRDefault="004C7F57" w:rsidP="003D0E51">
      <w:pPr>
        <w:pStyle w:val="Textebrut"/>
        <w:rPr>
          <w:rFonts w:asciiTheme="minorHAnsi" w:hAnsiTheme="minorHAnsi"/>
          <w:b/>
          <w:color w:val="1F497D"/>
          <w:sz w:val="24"/>
          <w:szCs w:val="24"/>
        </w:rPr>
      </w:pPr>
    </w:p>
    <w:p w:rsidR="00C26A85" w:rsidRDefault="00C26A85" w:rsidP="003D0E51">
      <w:pPr>
        <w:pStyle w:val="Textebrut"/>
        <w:rPr>
          <w:rFonts w:asciiTheme="minorHAnsi" w:hAnsiTheme="minorHAnsi"/>
          <w:b/>
          <w:color w:val="1F497D"/>
          <w:sz w:val="24"/>
          <w:szCs w:val="24"/>
        </w:rPr>
      </w:pPr>
      <w:bookmarkStart w:id="0" w:name="_GoBack"/>
      <w:bookmarkEnd w:id="0"/>
    </w:p>
    <w:p w:rsidR="004C7F57" w:rsidRDefault="004C7F57" w:rsidP="003D0E51">
      <w:pPr>
        <w:pStyle w:val="Textebrut"/>
        <w:rPr>
          <w:rFonts w:asciiTheme="minorHAnsi" w:hAnsiTheme="minorHAnsi"/>
          <w:b/>
          <w:color w:val="1F497D"/>
          <w:sz w:val="24"/>
          <w:szCs w:val="24"/>
        </w:rPr>
      </w:pPr>
    </w:p>
    <w:p w:rsidR="003D0E51" w:rsidRDefault="003D0E51" w:rsidP="003D0E51">
      <w:pPr>
        <w:pStyle w:val="Textebrut"/>
        <w:rPr>
          <w:rFonts w:asciiTheme="minorHAnsi" w:hAnsiTheme="minorHAnsi"/>
          <w:sz w:val="24"/>
          <w:szCs w:val="24"/>
        </w:rPr>
      </w:pPr>
      <w:r w:rsidRPr="008B0263">
        <w:rPr>
          <w:rFonts w:asciiTheme="minorHAnsi" w:hAnsiTheme="minorHAnsi"/>
          <w:b/>
          <w:color w:val="1F497D"/>
          <w:sz w:val="24"/>
          <w:szCs w:val="24"/>
        </w:rPr>
        <w:t>Contact presse</w:t>
      </w:r>
      <w:r>
        <w:rPr>
          <w:rFonts w:asciiTheme="minorHAnsi" w:hAnsiTheme="minorHAnsi"/>
          <w:b/>
          <w:color w:val="1F497D"/>
          <w:sz w:val="24"/>
          <w:szCs w:val="24"/>
        </w:rPr>
        <w:t xml:space="preserve"> Conseil des ventes  - </w:t>
      </w:r>
      <w:r w:rsidRPr="008B0263">
        <w:rPr>
          <w:rFonts w:asciiTheme="minorHAnsi" w:hAnsiTheme="minorHAnsi"/>
          <w:sz w:val="24"/>
          <w:szCs w:val="24"/>
        </w:rPr>
        <w:t>Ariane Chausson</w:t>
      </w:r>
    </w:p>
    <w:p w:rsidR="009B2601" w:rsidRPr="006B0240" w:rsidRDefault="003D0E51" w:rsidP="006B0240">
      <w:pPr>
        <w:pStyle w:val="Textebrut"/>
        <w:rPr>
          <w:rFonts w:asciiTheme="minorHAnsi" w:hAnsiTheme="minorHAnsi"/>
          <w:sz w:val="24"/>
          <w:szCs w:val="24"/>
        </w:rPr>
      </w:pPr>
      <w:r w:rsidRPr="008B0263">
        <w:rPr>
          <w:rFonts w:asciiTheme="minorHAnsi" w:hAnsiTheme="minorHAnsi"/>
          <w:sz w:val="24"/>
          <w:szCs w:val="24"/>
        </w:rPr>
        <w:t xml:space="preserve"> T + 33 (0)1 53 45 85 45 </w:t>
      </w:r>
      <w:r>
        <w:rPr>
          <w:rFonts w:asciiTheme="minorHAnsi" w:hAnsiTheme="minorHAnsi"/>
          <w:sz w:val="24"/>
          <w:szCs w:val="24"/>
        </w:rPr>
        <w:t>/</w:t>
      </w:r>
      <w:r w:rsidRPr="008B0263">
        <w:rPr>
          <w:rFonts w:asciiTheme="minorHAnsi" w:hAnsiTheme="minorHAnsi"/>
          <w:sz w:val="24"/>
          <w:szCs w:val="24"/>
        </w:rPr>
        <w:t>+ 33 (0)6 07 28 52 10</w:t>
      </w:r>
      <w:r>
        <w:rPr>
          <w:rFonts w:asciiTheme="minorHAnsi" w:hAnsiTheme="minorHAnsi"/>
          <w:sz w:val="24"/>
          <w:szCs w:val="24"/>
        </w:rPr>
        <w:t xml:space="preserve"> - </w:t>
      </w:r>
      <w:hyperlink r:id="rId10" w:history="1">
        <w:r w:rsidRPr="008B0263">
          <w:rPr>
            <w:rStyle w:val="Lienhypertexte"/>
            <w:rFonts w:asciiTheme="minorHAnsi" w:hAnsiTheme="minorHAnsi"/>
            <w:sz w:val="24"/>
            <w:szCs w:val="24"/>
          </w:rPr>
          <w:t>a.chausson@conseildesventes.fr</w:t>
        </w:r>
      </w:hyperlink>
    </w:p>
    <w:sectPr w:rsidR="009B2601" w:rsidRPr="006B0240" w:rsidSect="003B1614">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D6E" w:rsidRDefault="005D0D6E" w:rsidP="006B0240">
      <w:r>
        <w:separator/>
      </w:r>
    </w:p>
  </w:endnote>
  <w:endnote w:type="continuationSeparator" w:id="0">
    <w:p w:rsidR="005D0D6E" w:rsidRDefault="005D0D6E" w:rsidP="006B0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CaslonPro-Regular">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D6E" w:rsidRDefault="005D0D6E" w:rsidP="006B0240">
      <w:r>
        <w:separator/>
      </w:r>
    </w:p>
  </w:footnote>
  <w:footnote w:type="continuationSeparator" w:id="0">
    <w:p w:rsidR="005D0D6E" w:rsidRDefault="005D0D6E" w:rsidP="006B0240">
      <w:r>
        <w:continuationSeparator/>
      </w:r>
    </w:p>
  </w:footnote>
  <w:footnote w:id="1">
    <w:p w:rsidR="00BA2C0E" w:rsidRDefault="00BA2C0E">
      <w:pPr>
        <w:pStyle w:val="Notedebasdepage"/>
      </w:pPr>
      <w:r>
        <w:rPr>
          <w:rStyle w:val="Appelnotedebasdep"/>
        </w:rPr>
        <w:footnoteRef/>
      </w:r>
      <w:r>
        <w:t xml:space="preserve"> Les montants de ventes sont frais d’adjudication inclus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0750F"/>
    <w:multiLevelType w:val="hybridMultilevel"/>
    <w:tmpl w:val="A5F2D126"/>
    <w:lvl w:ilvl="0" w:tplc="F7E6E7BC">
      <w:numFmt w:val="bullet"/>
      <w:lvlText w:val=""/>
      <w:lvlJc w:val="left"/>
      <w:pPr>
        <w:ind w:left="1080" w:hanging="360"/>
      </w:pPr>
      <w:rPr>
        <w:rFonts w:ascii="Symbol" w:eastAsia="Cambria" w:hAnsi="Symbo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1A7246AB"/>
    <w:multiLevelType w:val="hybridMultilevel"/>
    <w:tmpl w:val="1674C9D8"/>
    <w:lvl w:ilvl="0" w:tplc="88521FB0">
      <w:numFmt w:val="bullet"/>
      <w:lvlText w:val="-"/>
      <w:lvlJc w:val="left"/>
      <w:pPr>
        <w:ind w:left="720" w:hanging="360"/>
      </w:pPr>
      <w:rPr>
        <w:rFonts w:ascii="Arial" w:eastAsia="Cambr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330381A"/>
    <w:multiLevelType w:val="hybridMultilevel"/>
    <w:tmpl w:val="88442D00"/>
    <w:lvl w:ilvl="0" w:tplc="EEB8C0C2">
      <w:numFmt w:val="bullet"/>
      <w:lvlText w:val="-"/>
      <w:lvlJc w:val="left"/>
      <w:pPr>
        <w:ind w:left="720" w:hanging="360"/>
      </w:pPr>
      <w:rPr>
        <w:rFonts w:ascii="ACaslonPro-Regular" w:eastAsiaTheme="minorEastAsia" w:hAnsi="ACaslonPro-Regular"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6ED2C39"/>
    <w:multiLevelType w:val="hybridMultilevel"/>
    <w:tmpl w:val="52A039F8"/>
    <w:lvl w:ilvl="0" w:tplc="F41A1CF6">
      <w:start w:val="9"/>
      <w:numFmt w:val="bullet"/>
      <w:lvlText w:val="-"/>
      <w:lvlJc w:val="left"/>
      <w:pPr>
        <w:ind w:left="720" w:hanging="360"/>
      </w:pPr>
      <w:rPr>
        <w:rFonts w:ascii="Arial" w:eastAsia="Cambr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F1A32C9"/>
    <w:multiLevelType w:val="hybridMultilevel"/>
    <w:tmpl w:val="D038B02A"/>
    <w:lvl w:ilvl="0" w:tplc="DAC8B7D4">
      <w:numFmt w:val="bullet"/>
      <w:lvlText w:val=""/>
      <w:lvlJc w:val="left"/>
      <w:pPr>
        <w:ind w:left="720" w:hanging="360"/>
      </w:pPr>
      <w:rPr>
        <w:rFonts w:ascii="Symbol" w:eastAsia="Cambria"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2C45341"/>
    <w:multiLevelType w:val="hybridMultilevel"/>
    <w:tmpl w:val="760C20CE"/>
    <w:lvl w:ilvl="0" w:tplc="05086F1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136"/>
    <w:rsid w:val="00003232"/>
    <w:rsid w:val="00004B63"/>
    <w:rsid w:val="00027B94"/>
    <w:rsid w:val="0003072E"/>
    <w:rsid w:val="000763DE"/>
    <w:rsid w:val="00080FBC"/>
    <w:rsid w:val="000A512C"/>
    <w:rsid w:val="000C14C0"/>
    <w:rsid w:val="000D5D96"/>
    <w:rsid w:val="000D6B55"/>
    <w:rsid w:val="00110854"/>
    <w:rsid w:val="0011731B"/>
    <w:rsid w:val="001809AC"/>
    <w:rsid w:val="00190152"/>
    <w:rsid w:val="001A7FF4"/>
    <w:rsid w:val="001C530B"/>
    <w:rsid w:val="00243EF2"/>
    <w:rsid w:val="00266523"/>
    <w:rsid w:val="00267E9A"/>
    <w:rsid w:val="002B3298"/>
    <w:rsid w:val="00310856"/>
    <w:rsid w:val="003B1614"/>
    <w:rsid w:val="003B69B7"/>
    <w:rsid w:val="003D0E51"/>
    <w:rsid w:val="003F5C8F"/>
    <w:rsid w:val="004368CD"/>
    <w:rsid w:val="004400EA"/>
    <w:rsid w:val="00451C47"/>
    <w:rsid w:val="0048006A"/>
    <w:rsid w:val="004B1230"/>
    <w:rsid w:val="004C18CC"/>
    <w:rsid w:val="004C6E9C"/>
    <w:rsid w:val="004C7F57"/>
    <w:rsid w:val="005C4DEA"/>
    <w:rsid w:val="005C764F"/>
    <w:rsid w:val="005D0D6E"/>
    <w:rsid w:val="00617116"/>
    <w:rsid w:val="006B0240"/>
    <w:rsid w:val="006D7C8C"/>
    <w:rsid w:val="00713F5E"/>
    <w:rsid w:val="00727D12"/>
    <w:rsid w:val="007738E4"/>
    <w:rsid w:val="00777361"/>
    <w:rsid w:val="00783DAB"/>
    <w:rsid w:val="007D3B12"/>
    <w:rsid w:val="00824235"/>
    <w:rsid w:val="0086277F"/>
    <w:rsid w:val="008977E1"/>
    <w:rsid w:val="008B2B73"/>
    <w:rsid w:val="008B7C2F"/>
    <w:rsid w:val="008C1F77"/>
    <w:rsid w:val="008E7BC4"/>
    <w:rsid w:val="00904EB5"/>
    <w:rsid w:val="00971112"/>
    <w:rsid w:val="00993430"/>
    <w:rsid w:val="009B2601"/>
    <w:rsid w:val="009D19A2"/>
    <w:rsid w:val="009D5714"/>
    <w:rsid w:val="009F0C15"/>
    <w:rsid w:val="00A12C01"/>
    <w:rsid w:val="00A323E7"/>
    <w:rsid w:val="00A8470A"/>
    <w:rsid w:val="00A94FFB"/>
    <w:rsid w:val="00B01136"/>
    <w:rsid w:val="00BA2C0E"/>
    <w:rsid w:val="00BD65D4"/>
    <w:rsid w:val="00C01474"/>
    <w:rsid w:val="00C21697"/>
    <w:rsid w:val="00C24B38"/>
    <w:rsid w:val="00C26A85"/>
    <w:rsid w:val="00C76EC9"/>
    <w:rsid w:val="00CB04CA"/>
    <w:rsid w:val="00CC4E7A"/>
    <w:rsid w:val="00CF4FB8"/>
    <w:rsid w:val="00D01E41"/>
    <w:rsid w:val="00D36E51"/>
    <w:rsid w:val="00DA2389"/>
    <w:rsid w:val="00DF28A6"/>
    <w:rsid w:val="00E25046"/>
    <w:rsid w:val="00E40C59"/>
    <w:rsid w:val="00E911BB"/>
    <w:rsid w:val="00ED311E"/>
    <w:rsid w:val="00F047D3"/>
    <w:rsid w:val="00F07394"/>
    <w:rsid w:val="00F07DC9"/>
    <w:rsid w:val="00F10DB8"/>
    <w:rsid w:val="00F17584"/>
    <w:rsid w:val="00F46A80"/>
    <w:rsid w:val="00F84662"/>
    <w:rsid w:val="00FD02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136"/>
    <w:pPr>
      <w:spacing w:after="0" w:line="240" w:lineRule="auto"/>
    </w:pPr>
    <w:rPr>
      <w:rFonts w:ascii="Cambria" w:eastAsia="Cambria" w:hAnsi="Cambria" w:cs="Times New Roman"/>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B01136"/>
    <w:rPr>
      <w:color w:val="0000FF"/>
      <w:u w:val="single"/>
    </w:rPr>
  </w:style>
  <w:style w:type="paragraph" w:styleId="Textebrut">
    <w:name w:val="Plain Text"/>
    <w:basedOn w:val="Normal"/>
    <w:link w:val="TextebrutCar"/>
    <w:uiPriority w:val="99"/>
    <w:unhideWhenUsed/>
    <w:rsid w:val="00B01136"/>
    <w:rPr>
      <w:rFonts w:ascii="Consolas" w:eastAsia="Calibri" w:hAnsi="Consolas"/>
      <w:sz w:val="21"/>
      <w:szCs w:val="21"/>
    </w:rPr>
  </w:style>
  <w:style w:type="character" w:customStyle="1" w:styleId="TextebrutCar">
    <w:name w:val="Texte brut Car"/>
    <w:basedOn w:val="Policepardfaut"/>
    <w:link w:val="Textebrut"/>
    <w:uiPriority w:val="99"/>
    <w:rsid w:val="00B01136"/>
    <w:rPr>
      <w:rFonts w:ascii="Consolas" w:eastAsia="Calibri" w:hAnsi="Consolas" w:cs="Times New Roman"/>
      <w:sz w:val="21"/>
      <w:szCs w:val="21"/>
    </w:rPr>
  </w:style>
  <w:style w:type="paragraph" w:styleId="Paragraphedeliste">
    <w:name w:val="List Paragraph"/>
    <w:basedOn w:val="Normal"/>
    <w:uiPriority w:val="34"/>
    <w:qFormat/>
    <w:rsid w:val="00FD02B6"/>
    <w:pPr>
      <w:ind w:left="720"/>
      <w:contextualSpacing/>
    </w:pPr>
  </w:style>
  <w:style w:type="paragraph" w:styleId="Textedebulles">
    <w:name w:val="Balloon Text"/>
    <w:basedOn w:val="Normal"/>
    <w:link w:val="TextedebullesCar"/>
    <w:uiPriority w:val="99"/>
    <w:semiHidden/>
    <w:unhideWhenUsed/>
    <w:rsid w:val="00FD02B6"/>
    <w:rPr>
      <w:rFonts w:ascii="Segoe UI" w:hAnsi="Segoe UI" w:cs="Segoe UI"/>
      <w:sz w:val="18"/>
      <w:szCs w:val="18"/>
    </w:rPr>
  </w:style>
  <w:style w:type="character" w:customStyle="1" w:styleId="TextedebullesCar">
    <w:name w:val="Texte de bulles Car"/>
    <w:basedOn w:val="Policepardfaut"/>
    <w:link w:val="Textedebulles"/>
    <w:uiPriority w:val="99"/>
    <w:semiHidden/>
    <w:rsid w:val="00FD02B6"/>
    <w:rPr>
      <w:rFonts w:ascii="Segoe UI" w:eastAsia="Cambria" w:hAnsi="Segoe UI" w:cs="Segoe UI"/>
      <w:sz w:val="18"/>
      <w:szCs w:val="18"/>
    </w:rPr>
  </w:style>
  <w:style w:type="paragraph" w:styleId="En-tte">
    <w:name w:val="header"/>
    <w:basedOn w:val="Normal"/>
    <w:link w:val="En-tteCar"/>
    <w:uiPriority w:val="99"/>
    <w:unhideWhenUsed/>
    <w:rsid w:val="006B0240"/>
    <w:pPr>
      <w:tabs>
        <w:tab w:val="center" w:pos="4536"/>
        <w:tab w:val="right" w:pos="9072"/>
      </w:tabs>
    </w:pPr>
  </w:style>
  <w:style w:type="character" w:customStyle="1" w:styleId="En-tteCar">
    <w:name w:val="En-tête Car"/>
    <w:basedOn w:val="Policepardfaut"/>
    <w:link w:val="En-tte"/>
    <w:uiPriority w:val="99"/>
    <w:rsid w:val="006B0240"/>
    <w:rPr>
      <w:rFonts w:ascii="Cambria" w:eastAsia="Cambria" w:hAnsi="Cambria" w:cs="Times New Roman"/>
      <w:sz w:val="24"/>
      <w:szCs w:val="24"/>
    </w:rPr>
  </w:style>
  <w:style w:type="paragraph" w:styleId="Pieddepage">
    <w:name w:val="footer"/>
    <w:basedOn w:val="Normal"/>
    <w:link w:val="PieddepageCar"/>
    <w:uiPriority w:val="99"/>
    <w:unhideWhenUsed/>
    <w:rsid w:val="006B0240"/>
    <w:pPr>
      <w:tabs>
        <w:tab w:val="center" w:pos="4536"/>
        <w:tab w:val="right" w:pos="9072"/>
      </w:tabs>
    </w:pPr>
  </w:style>
  <w:style w:type="character" w:customStyle="1" w:styleId="PieddepageCar">
    <w:name w:val="Pied de page Car"/>
    <w:basedOn w:val="Policepardfaut"/>
    <w:link w:val="Pieddepage"/>
    <w:uiPriority w:val="99"/>
    <w:rsid w:val="006B0240"/>
    <w:rPr>
      <w:rFonts w:ascii="Cambria" w:eastAsia="Cambria" w:hAnsi="Cambria" w:cs="Times New Roman"/>
      <w:sz w:val="24"/>
      <w:szCs w:val="24"/>
    </w:rPr>
  </w:style>
  <w:style w:type="paragraph" w:styleId="Notedebasdepage">
    <w:name w:val="footnote text"/>
    <w:basedOn w:val="Normal"/>
    <w:link w:val="NotedebasdepageCar"/>
    <w:uiPriority w:val="99"/>
    <w:semiHidden/>
    <w:unhideWhenUsed/>
    <w:rsid w:val="00BA2C0E"/>
    <w:rPr>
      <w:sz w:val="20"/>
      <w:szCs w:val="20"/>
    </w:rPr>
  </w:style>
  <w:style w:type="character" w:customStyle="1" w:styleId="NotedebasdepageCar">
    <w:name w:val="Note de bas de page Car"/>
    <w:basedOn w:val="Policepardfaut"/>
    <w:link w:val="Notedebasdepage"/>
    <w:uiPriority w:val="99"/>
    <w:semiHidden/>
    <w:rsid w:val="00BA2C0E"/>
    <w:rPr>
      <w:rFonts w:ascii="Cambria" w:eastAsia="Cambria" w:hAnsi="Cambria" w:cs="Times New Roman"/>
      <w:sz w:val="20"/>
      <w:szCs w:val="20"/>
    </w:rPr>
  </w:style>
  <w:style w:type="character" w:styleId="Appelnotedebasdep">
    <w:name w:val="footnote reference"/>
    <w:basedOn w:val="Policepardfaut"/>
    <w:uiPriority w:val="99"/>
    <w:semiHidden/>
    <w:unhideWhenUsed/>
    <w:rsid w:val="00BA2C0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136"/>
    <w:pPr>
      <w:spacing w:after="0" w:line="240" w:lineRule="auto"/>
    </w:pPr>
    <w:rPr>
      <w:rFonts w:ascii="Cambria" w:eastAsia="Cambria" w:hAnsi="Cambria" w:cs="Times New Roman"/>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B01136"/>
    <w:rPr>
      <w:color w:val="0000FF"/>
      <w:u w:val="single"/>
    </w:rPr>
  </w:style>
  <w:style w:type="paragraph" w:styleId="Textebrut">
    <w:name w:val="Plain Text"/>
    <w:basedOn w:val="Normal"/>
    <w:link w:val="TextebrutCar"/>
    <w:uiPriority w:val="99"/>
    <w:unhideWhenUsed/>
    <w:rsid w:val="00B01136"/>
    <w:rPr>
      <w:rFonts w:ascii="Consolas" w:eastAsia="Calibri" w:hAnsi="Consolas"/>
      <w:sz w:val="21"/>
      <w:szCs w:val="21"/>
    </w:rPr>
  </w:style>
  <w:style w:type="character" w:customStyle="1" w:styleId="TextebrutCar">
    <w:name w:val="Texte brut Car"/>
    <w:basedOn w:val="Policepardfaut"/>
    <w:link w:val="Textebrut"/>
    <w:uiPriority w:val="99"/>
    <w:rsid w:val="00B01136"/>
    <w:rPr>
      <w:rFonts w:ascii="Consolas" w:eastAsia="Calibri" w:hAnsi="Consolas" w:cs="Times New Roman"/>
      <w:sz w:val="21"/>
      <w:szCs w:val="21"/>
    </w:rPr>
  </w:style>
  <w:style w:type="paragraph" w:styleId="Paragraphedeliste">
    <w:name w:val="List Paragraph"/>
    <w:basedOn w:val="Normal"/>
    <w:uiPriority w:val="34"/>
    <w:qFormat/>
    <w:rsid w:val="00FD02B6"/>
    <w:pPr>
      <w:ind w:left="720"/>
      <w:contextualSpacing/>
    </w:pPr>
  </w:style>
  <w:style w:type="paragraph" w:styleId="Textedebulles">
    <w:name w:val="Balloon Text"/>
    <w:basedOn w:val="Normal"/>
    <w:link w:val="TextedebullesCar"/>
    <w:uiPriority w:val="99"/>
    <w:semiHidden/>
    <w:unhideWhenUsed/>
    <w:rsid w:val="00FD02B6"/>
    <w:rPr>
      <w:rFonts w:ascii="Segoe UI" w:hAnsi="Segoe UI" w:cs="Segoe UI"/>
      <w:sz w:val="18"/>
      <w:szCs w:val="18"/>
    </w:rPr>
  </w:style>
  <w:style w:type="character" w:customStyle="1" w:styleId="TextedebullesCar">
    <w:name w:val="Texte de bulles Car"/>
    <w:basedOn w:val="Policepardfaut"/>
    <w:link w:val="Textedebulles"/>
    <w:uiPriority w:val="99"/>
    <w:semiHidden/>
    <w:rsid w:val="00FD02B6"/>
    <w:rPr>
      <w:rFonts w:ascii="Segoe UI" w:eastAsia="Cambria" w:hAnsi="Segoe UI" w:cs="Segoe UI"/>
      <w:sz w:val="18"/>
      <w:szCs w:val="18"/>
    </w:rPr>
  </w:style>
  <w:style w:type="paragraph" w:styleId="En-tte">
    <w:name w:val="header"/>
    <w:basedOn w:val="Normal"/>
    <w:link w:val="En-tteCar"/>
    <w:uiPriority w:val="99"/>
    <w:unhideWhenUsed/>
    <w:rsid w:val="006B0240"/>
    <w:pPr>
      <w:tabs>
        <w:tab w:val="center" w:pos="4536"/>
        <w:tab w:val="right" w:pos="9072"/>
      </w:tabs>
    </w:pPr>
  </w:style>
  <w:style w:type="character" w:customStyle="1" w:styleId="En-tteCar">
    <w:name w:val="En-tête Car"/>
    <w:basedOn w:val="Policepardfaut"/>
    <w:link w:val="En-tte"/>
    <w:uiPriority w:val="99"/>
    <w:rsid w:val="006B0240"/>
    <w:rPr>
      <w:rFonts w:ascii="Cambria" w:eastAsia="Cambria" w:hAnsi="Cambria" w:cs="Times New Roman"/>
      <w:sz w:val="24"/>
      <w:szCs w:val="24"/>
    </w:rPr>
  </w:style>
  <w:style w:type="paragraph" w:styleId="Pieddepage">
    <w:name w:val="footer"/>
    <w:basedOn w:val="Normal"/>
    <w:link w:val="PieddepageCar"/>
    <w:uiPriority w:val="99"/>
    <w:unhideWhenUsed/>
    <w:rsid w:val="006B0240"/>
    <w:pPr>
      <w:tabs>
        <w:tab w:val="center" w:pos="4536"/>
        <w:tab w:val="right" w:pos="9072"/>
      </w:tabs>
    </w:pPr>
  </w:style>
  <w:style w:type="character" w:customStyle="1" w:styleId="PieddepageCar">
    <w:name w:val="Pied de page Car"/>
    <w:basedOn w:val="Policepardfaut"/>
    <w:link w:val="Pieddepage"/>
    <w:uiPriority w:val="99"/>
    <w:rsid w:val="006B0240"/>
    <w:rPr>
      <w:rFonts w:ascii="Cambria" w:eastAsia="Cambria" w:hAnsi="Cambria" w:cs="Times New Roman"/>
      <w:sz w:val="24"/>
      <w:szCs w:val="24"/>
    </w:rPr>
  </w:style>
  <w:style w:type="paragraph" w:styleId="Notedebasdepage">
    <w:name w:val="footnote text"/>
    <w:basedOn w:val="Normal"/>
    <w:link w:val="NotedebasdepageCar"/>
    <w:uiPriority w:val="99"/>
    <w:semiHidden/>
    <w:unhideWhenUsed/>
    <w:rsid w:val="00BA2C0E"/>
    <w:rPr>
      <w:sz w:val="20"/>
      <w:szCs w:val="20"/>
    </w:rPr>
  </w:style>
  <w:style w:type="character" w:customStyle="1" w:styleId="NotedebasdepageCar">
    <w:name w:val="Note de bas de page Car"/>
    <w:basedOn w:val="Policepardfaut"/>
    <w:link w:val="Notedebasdepage"/>
    <w:uiPriority w:val="99"/>
    <w:semiHidden/>
    <w:rsid w:val="00BA2C0E"/>
    <w:rPr>
      <w:rFonts w:ascii="Cambria" w:eastAsia="Cambria" w:hAnsi="Cambria" w:cs="Times New Roman"/>
      <w:sz w:val="20"/>
      <w:szCs w:val="20"/>
    </w:rPr>
  </w:style>
  <w:style w:type="character" w:styleId="Appelnotedebasdep">
    <w:name w:val="footnote reference"/>
    <w:basedOn w:val="Policepardfaut"/>
    <w:uiPriority w:val="99"/>
    <w:semiHidden/>
    <w:unhideWhenUsed/>
    <w:rsid w:val="00BA2C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a.chausson@conseildesventes.fr"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2DAFE-3A3F-4DA9-9019-DD954803A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5</Pages>
  <Words>1960</Words>
  <Characters>10783</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Ariane</dc:creator>
  <cp:lastModifiedBy>LECHEVALIER</cp:lastModifiedBy>
  <cp:revision>13</cp:revision>
  <cp:lastPrinted>2018-04-09T14:55:00Z</cp:lastPrinted>
  <dcterms:created xsi:type="dcterms:W3CDTF">2019-03-11T11:43:00Z</dcterms:created>
  <dcterms:modified xsi:type="dcterms:W3CDTF">2019-03-11T18:06:00Z</dcterms:modified>
</cp:coreProperties>
</file>